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0A04" w14:textId="77777777" w:rsidR="00A85A7F" w:rsidRDefault="00E07053" w:rsidP="4768404C">
      <w:pPr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P</w:t>
      </w:r>
      <w:r w:rsidR="00D35848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rivate Benefit </w:t>
      </w:r>
      <w:r w:rsidR="00277F2D">
        <w:rPr>
          <w:rFonts w:ascii="Calibri" w:eastAsia="Calibri" w:hAnsi="Calibri" w:cs="Calibri"/>
          <w:b/>
          <w:bCs/>
          <w:sz w:val="32"/>
          <w:szCs w:val="32"/>
          <w:u w:val="single"/>
        </w:rPr>
        <w:t>Provider</w:t>
      </w: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Communication</w:t>
      </w:r>
      <w:r w:rsidR="009A4B8F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on </w:t>
      </w:r>
    </w:p>
    <w:p w14:paraId="5A1184E5" w14:textId="025377FB" w:rsidR="2EB43415" w:rsidRDefault="009A4B8F" w:rsidP="00245701">
      <w:pPr>
        <w:jc w:val="center"/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Biosimilar Transition Policy</w:t>
      </w:r>
    </w:p>
    <w:p w14:paraId="572E8EA8" w14:textId="77777777" w:rsidR="00245701" w:rsidRDefault="00245701" w:rsidP="00245701">
      <w:pPr>
        <w:jc w:val="center"/>
      </w:pPr>
    </w:p>
    <w:p w14:paraId="23F9BCAB" w14:textId="6BF01F2C" w:rsidR="2EB43415" w:rsidRDefault="2EB43415" w:rsidP="00375311">
      <w:r w:rsidRPr="4768404C">
        <w:rPr>
          <w:rFonts w:ascii="Calibri" w:eastAsia="Calibri" w:hAnsi="Calibri" w:cs="Calibri"/>
          <w:b/>
          <w:bCs/>
        </w:rPr>
        <w:t xml:space="preserve">Objective: </w:t>
      </w:r>
      <w:r w:rsidR="005F490A">
        <w:rPr>
          <w:rFonts w:ascii="Calibri" w:eastAsia="Calibri" w:hAnsi="Calibri" w:cs="Calibri"/>
        </w:rPr>
        <w:t>Enable</w:t>
      </w:r>
      <w:r w:rsidR="000E5905">
        <w:rPr>
          <w:rFonts w:ascii="Calibri" w:eastAsia="Calibri" w:hAnsi="Calibri" w:cs="Calibri"/>
        </w:rPr>
        <w:t xml:space="preserve"> private </w:t>
      </w:r>
      <w:r w:rsidR="00C43EB7">
        <w:rPr>
          <w:rFonts w:ascii="Calibri" w:eastAsia="Calibri" w:hAnsi="Calibri" w:cs="Calibri"/>
        </w:rPr>
        <w:t>benefit</w:t>
      </w:r>
      <w:r w:rsidR="000E5905">
        <w:rPr>
          <w:rFonts w:ascii="Calibri" w:eastAsia="Calibri" w:hAnsi="Calibri" w:cs="Calibri"/>
        </w:rPr>
        <w:t xml:space="preserve"> providers</w:t>
      </w:r>
      <w:r w:rsidR="003F6CE1">
        <w:rPr>
          <w:rFonts w:ascii="Calibri" w:eastAsia="Calibri" w:hAnsi="Calibri" w:cs="Calibri"/>
        </w:rPr>
        <w:t xml:space="preserve"> to implement </w:t>
      </w:r>
      <w:r w:rsidR="0022506A">
        <w:rPr>
          <w:rFonts w:ascii="Calibri" w:eastAsia="Calibri" w:hAnsi="Calibri" w:cs="Calibri"/>
        </w:rPr>
        <w:t>b</w:t>
      </w:r>
      <w:r w:rsidR="003F6CE1">
        <w:rPr>
          <w:rFonts w:ascii="Calibri" w:eastAsia="Calibri" w:hAnsi="Calibri" w:cs="Calibri"/>
        </w:rPr>
        <w:t xml:space="preserve">iosimilar </w:t>
      </w:r>
      <w:r w:rsidR="0010066A">
        <w:rPr>
          <w:rFonts w:ascii="Calibri" w:eastAsia="Calibri" w:hAnsi="Calibri" w:cs="Calibri"/>
        </w:rPr>
        <w:t>t</w:t>
      </w:r>
      <w:r w:rsidR="003F6CE1">
        <w:rPr>
          <w:rFonts w:ascii="Calibri" w:eastAsia="Calibri" w:hAnsi="Calibri" w:cs="Calibri"/>
        </w:rPr>
        <w:t>ransition polic</w:t>
      </w:r>
      <w:r w:rsidR="00372CC8">
        <w:rPr>
          <w:rFonts w:ascii="Calibri" w:eastAsia="Calibri" w:hAnsi="Calibri" w:cs="Calibri"/>
        </w:rPr>
        <w:t>ies</w:t>
      </w:r>
      <w:r w:rsidR="00D45733">
        <w:rPr>
          <w:rFonts w:ascii="Calibri" w:eastAsia="Calibri" w:hAnsi="Calibri" w:cs="Calibri"/>
        </w:rPr>
        <w:t xml:space="preserve"> by adding </w:t>
      </w:r>
      <w:r w:rsidR="0074274B">
        <w:rPr>
          <w:rFonts w:ascii="Calibri" w:eastAsia="Calibri" w:hAnsi="Calibri" w:cs="Calibri"/>
        </w:rPr>
        <w:t xml:space="preserve">clarity </w:t>
      </w:r>
      <w:r w:rsidRPr="4768404C">
        <w:rPr>
          <w:rFonts w:ascii="Calibri" w:eastAsia="Calibri" w:hAnsi="Calibri" w:cs="Calibri"/>
        </w:rPr>
        <w:t>and instill</w:t>
      </w:r>
      <w:r w:rsidR="00D45733">
        <w:rPr>
          <w:rFonts w:ascii="Calibri" w:eastAsia="Calibri" w:hAnsi="Calibri" w:cs="Calibri"/>
        </w:rPr>
        <w:t xml:space="preserve">ing </w:t>
      </w:r>
      <w:r w:rsidRPr="4768404C">
        <w:rPr>
          <w:rFonts w:ascii="Calibri" w:eastAsia="Calibri" w:hAnsi="Calibri" w:cs="Calibri"/>
        </w:rPr>
        <w:t xml:space="preserve">confidence among </w:t>
      </w:r>
      <w:r w:rsidR="003573DA">
        <w:rPr>
          <w:rFonts w:ascii="Calibri" w:eastAsia="Calibri" w:hAnsi="Calibri" w:cs="Calibri"/>
        </w:rPr>
        <w:t>plan sponsors and</w:t>
      </w:r>
      <w:r w:rsidR="00933B75">
        <w:rPr>
          <w:rFonts w:ascii="Calibri" w:eastAsia="Calibri" w:hAnsi="Calibri" w:cs="Calibri"/>
        </w:rPr>
        <w:t xml:space="preserve"> members</w:t>
      </w:r>
      <w:r w:rsidR="003573DA">
        <w:rPr>
          <w:rFonts w:ascii="Calibri" w:eastAsia="Calibri" w:hAnsi="Calibri" w:cs="Calibri"/>
        </w:rPr>
        <w:t xml:space="preserve"> </w:t>
      </w:r>
      <w:r w:rsidRPr="4768404C">
        <w:rPr>
          <w:rFonts w:ascii="Calibri" w:eastAsia="Calibri" w:hAnsi="Calibri" w:cs="Calibri"/>
        </w:rPr>
        <w:t>that</w:t>
      </w:r>
      <w:r w:rsidR="003573DA" w:rsidRPr="4768404C">
        <w:rPr>
          <w:rFonts w:ascii="Calibri" w:eastAsia="Calibri" w:hAnsi="Calibri" w:cs="Calibri"/>
        </w:rPr>
        <w:t xml:space="preserve"> </w:t>
      </w:r>
      <w:r w:rsidRPr="4768404C">
        <w:rPr>
          <w:rFonts w:ascii="Calibri" w:eastAsia="Calibri" w:hAnsi="Calibri" w:cs="Calibri"/>
        </w:rPr>
        <w:t>transition</w:t>
      </w:r>
      <w:r w:rsidR="0093039E">
        <w:rPr>
          <w:rFonts w:ascii="Calibri" w:eastAsia="Calibri" w:hAnsi="Calibri" w:cs="Calibri"/>
        </w:rPr>
        <w:t>ing to a biosimilar</w:t>
      </w:r>
      <w:r w:rsidRPr="4768404C">
        <w:rPr>
          <w:rFonts w:ascii="Calibri" w:eastAsia="Calibri" w:hAnsi="Calibri" w:cs="Calibri"/>
        </w:rPr>
        <w:t xml:space="preserve"> is simple</w:t>
      </w:r>
      <w:r w:rsidR="00590639">
        <w:rPr>
          <w:rFonts w:ascii="Calibri" w:eastAsia="Calibri" w:hAnsi="Calibri" w:cs="Calibri"/>
        </w:rPr>
        <w:t xml:space="preserve"> </w:t>
      </w:r>
      <w:r w:rsidRPr="4768404C">
        <w:rPr>
          <w:rFonts w:ascii="Calibri" w:eastAsia="Calibri" w:hAnsi="Calibri" w:cs="Calibri"/>
        </w:rPr>
        <w:t>and effective.</w:t>
      </w:r>
    </w:p>
    <w:p w14:paraId="095D9A12" w14:textId="0ACCB552" w:rsidR="007A6D63" w:rsidRDefault="2EB43415" w:rsidP="00CD596C">
      <w:pPr>
        <w:spacing w:line="240" w:lineRule="exact"/>
        <w:rPr>
          <w:rFonts w:ascii="Calibri" w:eastAsia="Calibri" w:hAnsi="Calibri" w:cs="Calibri"/>
        </w:rPr>
      </w:pPr>
      <w:r w:rsidRPr="4768404C">
        <w:rPr>
          <w:rFonts w:ascii="Calibri" w:eastAsia="Calibri" w:hAnsi="Calibri" w:cs="Calibri"/>
          <w:b/>
          <w:bCs/>
        </w:rPr>
        <w:t xml:space="preserve">Purpose: </w:t>
      </w:r>
      <w:r w:rsidR="00A61E3F">
        <w:rPr>
          <w:rFonts w:ascii="Calibri" w:eastAsia="Calibri" w:hAnsi="Calibri" w:cs="Calibri"/>
        </w:rPr>
        <w:t>Provide</w:t>
      </w:r>
      <w:r w:rsidR="00E07053">
        <w:rPr>
          <w:rFonts w:ascii="Calibri" w:eastAsia="Calibri" w:hAnsi="Calibri" w:cs="Calibri"/>
        </w:rPr>
        <w:t xml:space="preserve"> </w:t>
      </w:r>
      <w:r w:rsidR="00355C28">
        <w:rPr>
          <w:rFonts w:ascii="Calibri" w:eastAsia="Calibri" w:hAnsi="Calibri" w:cs="Calibri"/>
        </w:rPr>
        <w:t>resources</w:t>
      </w:r>
      <w:r w:rsidR="002A3C23">
        <w:rPr>
          <w:rFonts w:ascii="Calibri" w:eastAsia="Calibri" w:hAnsi="Calibri" w:cs="Calibri"/>
        </w:rPr>
        <w:t xml:space="preserve"> to</w:t>
      </w:r>
      <w:r w:rsidR="00A04C28">
        <w:rPr>
          <w:rFonts w:ascii="Calibri" w:eastAsia="Calibri" w:hAnsi="Calibri" w:cs="Calibri"/>
        </w:rPr>
        <w:t xml:space="preserve"> </w:t>
      </w:r>
      <w:r w:rsidR="003A19AC">
        <w:rPr>
          <w:rFonts w:ascii="Calibri" w:eastAsia="Calibri" w:hAnsi="Calibri" w:cs="Calibri"/>
        </w:rPr>
        <w:t>develop communications</w:t>
      </w:r>
      <w:r w:rsidR="005335D4">
        <w:rPr>
          <w:rFonts w:ascii="Calibri" w:eastAsia="Calibri" w:hAnsi="Calibri" w:cs="Calibri"/>
        </w:rPr>
        <w:t xml:space="preserve"> to plan sponsors and members</w:t>
      </w:r>
      <w:r w:rsidR="003A19AC">
        <w:rPr>
          <w:rFonts w:ascii="Calibri" w:eastAsia="Calibri" w:hAnsi="Calibri" w:cs="Calibri"/>
        </w:rPr>
        <w:t xml:space="preserve"> </w:t>
      </w:r>
      <w:r w:rsidR="005F67EC">
        <w:rPr>
          <w:rFonts w:ascii="Calibri" w:eastAsia="Calibri" w:hAnsi="Calibri" w:cs="Calibri"/>
        </w:rPr>
        <w:t>on the</w:t>
      </w:r>
      <w:r w:rsidR="00AD5DBB">
        <w:rPr>
          <w:rFonts w:ascii="Calibri" w:eastAsia="Calibri" w:hAnsi="Calibri" w:cs="Calibri"/>
        </w:rPr>
        <w:t xml:space="preserve"> details and rationale </w:t>
      </w:r>
      <w:r w:rsidR="00BD602F">
        <w:rPr>
          <w:rFonts w:ascii="Calibri" w:eastAsia="Calibri" w:hAnsi="Calibri" w:cs="Calibri"/>
        </w:rPr>
        <w:t>of</w:t>
      </w:r>
      <w:r w:rsidR="00AD5DBB">
        <w:rPr>
          <w:rFonts w:ascii="Calibri" w:eastAsia="Calibri" w:hAnsi="Calibri" w:cs="Calibri"/>
        </w:rPr>
        <w:t xml:space="preserve"> a biosimilar transition policy</w:t>
      </w:r>
      <w:r w:rsidR="005335D4">
        <w:rPr>
          <w:rFonts w:ascii="Calibri" w:eastAsia="Calibri" w:hAnsi="Calibri" w:cs="Calibri"/>
        </w:rPr>
        <w:t>.</w:t>
      </w:r>
      <w:r w:rsidR="007A6D63">
        <w:rPr>
          <w:rFonts w:ascii="Calibri" w:eastAsia="Calibri" w:hAnsi="Calibri" w:cs="Calibri"/>
        </w:rPr>
        <w:t xml:space="preserve">  </w:t>
      </w:r>
    </w:p>
    <w:p w14:paraId="0DD40D94" w14:textId="57EEB6B5" w:rsidR="006A6A33" w:rsidRPr="006E77E6" w:rsidRDefault="000E7626" w:rsidP="00CD596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Available r</w:t>
      </w:r>
      <w:r w:rsidR="007A6D63">
        <w:rPr>
          <w:rFonts w:ascii="Calibri" w:eastAsia="Calibri" w:hAnsi="Calibri" w:cs="Calibri"/>
        </w:rPr>
        <w:t>esources include:</w:t>
      </w:r>
    </w:p>
    <w:p w14:paraId="5E1F7D0C" w14:textId="3D7DB204" w:rsidR="00CD596C" w:rsidRDefault="008510EF" w:rsidP="006A6A33">
      <w:pPr>
        <w:pStyle w:val="ListParagraph"/>
        <w:numPr>
          <w:ilvl w:val="0"/>
          <w:numId w:val="5"/>
        </w:numPr>
        <w:spacing w:line="240" w:lineRule="exact"/>
      </w:pPr>
      <w:r>
        <w:t>A</w:t>
      </w:r>
      <w:r w:rsidR="006A6A33">
        <w:t xml:space="preserve"> simple, step</w:t>
      </w:r>
      <w:r w:rsidR="00AE66FB">
        <w:t xml:space="preserve"> by step overview of the plan member </w:t>
      </w:r>
      <w:r w:rsidR="006A6A33">
        <w:t>journey</w:t>
      </w:r>
      <w:r w:rsidR="009E25FA">
        <w:t xml:space="preserve"> during a </w:t>
      </w:r>
      <w:r w:rsidR="00CD7838">
        <w:t>transition policy</w:t>
      </w:r>
      <w:r w:rsidR="00ED1439">
        <w:t xml:space="preserve"> </w:t>
      </w:r>
    </w:p>
    <w:p w14:paraId="7AFDF691" w14:textId="291008E8" w:rsidR="00AE66FB" w:rsidRDefault="00AE66FB" w:rsidP="006A6A33">
      <w:pPr>
        <w:pStyle w:val="ListParagraph"/>
        <w:numPr>
          <w:ilvl w:val="0"/>
          <w:numId w:val="5"/>
        </w:numPr>
        <w:spacing w:line="240" w:lineRule="exact"/>
      </w:pPr>
      <w:r>
        <w:t>Canadian</w:t>
      </w:r>
      <w:r w:rsidR="00027E8A">
        <w:t xml:space="preserve"> </w:t>
      </w:r>
      <w:r w:rsidR="00EC619A">
        <w:t>b</w:t>
      </w:r>
      <w:r w:rsidR="00027E8A">
        <w:t xml:space="preserve">iosimilar </w:t>
      </w:r>
      <w:r w:rsidR="00EC619A">
        <w:t>t</w:t>
      </w:r>
      <w:r w:rsidR="00027E8A">
        <w:t>ransition policy</w:t>
      </w:r>
      <w:r>
        <w:t xml:space="preserve"> experience</w:t>
      </w:r>
      <w:r w:rsidR="00EC619A">
        <w:t xml:space="preserve"> to date</w:t>
      </w:r>
      <w:r w:rsidR="004A2C39">
        <w:t xml:space="preserve">, </w:t>
      </w:r>
      <w:r w:rsidR="009337A1">
        <w:t>including policy</w:t>
      </w:r>
      <w:r w:rsidR="00B93215">
        <w:t xml:space="preserve"> </w:t>
      </w:r>
      <w:r w:rsidR="00443612">
        <w:t>design,</w:t>
      </w:r>
      <w:r w:rsidR="004A2C39">
        <w:t xml:space="preserve"> and results</w:t>
      </w:r>
    </w:p>
    <w:p w14:paraId="52FF3FFC" w14:textId="7DE34B83" w:rsidR="00632C8E" w:rsidRDefault="004C77DB" w:rsidP="005E4A16">
      <w:pPr>
        <w:pStyle w:val="ListParagraph"/>
        <w:numPr>
          <w:ilvl w:val="0"/>
          <w:numId w:val="5"/>
        </w:numPr>
        <w:spacing w:line="240" w:lineRule="exact"/>
      </w:pPr>
      <w:r>
        <w:t>Demonstration of the f</w:t>
      </w:r>
      <w:r w:rsidR="00632C8E">
        <w:t>inancial</w:t>
      </w:r>
      <w:r w:rsidR="00EF7467">
        <w:t xml:space="preserve"> value of</w:t>
      </w:r>
      <w:r w:rsidR="00280276">
        <w:t xml:space="preserve"> biosimilars</w:t>
      </w:r>
      <w:r w:rsidR="0028080C">
        <w:t xml:space="preserve"> for plan sponsors</w:t>
      </w:r>
    </w:p>
    <w:p w14:paraId="13D4DBC6" w14:textId="77777777" w:rsidR="00F87CA8" w:rsidRDefault="00F87CA8" w:rsidP="00F87CA8">
      <w:pPr>
        <w:pStyle w:val="ListParagraph"/>
        <w:spacing w:line="240" w:lineRule="exact"/>
        <w:ind w:left="360"/>
      </w:pPr>
    </w:p>
    <w:p w14:paraId="41B1D4C7" w14:textId="50FFBC30" w:rsidR="001439BC" w:rsidRDefault="00966258" w:rsidP="00CD596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7AC0C" wp14:editId="0D910B2B">
                <wp:simplePos x="0" y="0"/>
                <wp:positionH relativeFrom="column">
                  <wp:posOffset>-6350</wp:posOffset>
                </wp:positionH>
                <wp:positionV relativeFrom="paragraph">
                  <wp:posOffset>54610</wp:posOffset>
                </wp:positionV>
                <wp:extent cx="553720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60D2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4.3pt" to="435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4AC44E7" w14:textId="3332DF6B" w:rsidR="005B66DC" w:rsidRDefault="00CD596C" w:rsidP="00CD596C">
      <w:pPr>
        <w:spacing w:line="240" w:lineRule="exact"/>
      </w:pPr>
      <w:r>
        <w:t>D</w:t>
      </w:r>
      <w:r w:rsidR="005B66DC">
        <w:t xml:space="preserve">ear Plan </w:t>
      </w:r>
      <w:r w:rsidR="00422EF4">
        <w:t>Sponsor</w:t>
      </w:r>
      <w:r w:rsidR="005B66DC">
        <w:t>,</w:t>
      </w:r>
    </w:p>
    <w:p w14:paraId="62F723E6" w14:textId="7A5C91C3" w:rsidR="00BC4E1E" w:rsidRDefault="00D6618B" w:rsidP="00CD596C">
      <w:pPr>
        <w:spacing w:line="240" w:lineRule="exact"/>
      </w:pPr>
      <w:r>
        <w:t>We</w:t>
      </w:r>
      <w:r w:rsidR="00E317EF">
        <w:t xml:space="preserve"> will</w:t>
      </w:r>
      <w:r w:rsidR="0023713D">
        <w:t xml:space="preserve"> be</w:t>
      </w:r>
      <w:r w:rsidR="00E914FC">
        <w:t xml:space="preserve"> implementing drug coverage changes </w:t>
      </w:r>
      <w:r w:rsidR="005F67EC">
        <w:t>to increase</w:t>
      </w:r>
      <w:r w:rsidR="00E914FC">
        <w:t xml:space="preserve"> the use of bios</w:t>
      </w:r>
      <w:r w:rsidR="00175A0E">
        <w:t>imilars</w:t>
      </w:r>
      <w:r w:rsidR="00A60BD0">
        <w:t xml:space="preserve"> </w:t>
      </w:r>
      <w:r w:rsidR="00C404C4">
        <w:t>by your plan members</w:t>
      </w:r>
      <w:r w:rsidR="00175A0E">
        <w:t>.</w:t>
      </w:r>
      <w:r w:rsidR="00493565">
        <w:t xml:space="preserve">  </w:t>
      </w:r>
      <w:r w:rsidR="00890E65">
        <w:t>This evidence</w:t>
      </w:r>
      <w:r w:rsidR="002B1176">
        <w:t>-</w:t>
      </w:r>
      <w:r w:rsidR="00890E65">
        <w:t>informed strategy</w:t>
      </w:r>
      <w:r w:rsidR="00366E13">
        <w:t xml:space="preserve"> will help </w:t>
      </w:r>
      <w:r w:rsidR="008D7A61">
        <w:t>provide significant savings to plan sponsors</w:t>
      </w:r>
      <w:r w:rsidR="00E00D57">
        <w:t xml:space="preserve"> while providing the same effective treatment to plan members.</w:t>
      </w:r>
    </w:p>
    <w:p w14:paraId="3A26475C" w14:textId="11D43F67" w:rsidR="009570FC" w:rsidRDefault="00D52A78" w:rsidP="00CD596C">
      <w:pPr>
        <w:spacing w:line="240" w:lineRule="exact"/>
      </w:pPr>
      <w:r>
        <w:t>Over the last few years</w:t>
      </w:r>
      <w:r w:rsidR="00493565">
        <w:t>,</w:t>
      </w:r>
      <w:r>
        <w:t xml:space="preserve"> multiple</w:t>
      </w:r>
      <w:r w:rsidR="00490884">
        <w:t xml:space="preserve"> Canadian</w:t>
      </w:r>
      <w:r>
        <w:t xml:space="preserve"> public and private drug plans have</w:t>
      </w:r>
      <w:r w:rsidR="008C5A95">
        <w:t xml:space="preserve"> </w:t>
      </w:r>
      <w:r>
        <w:t>implemented policies</w:t>
      </w:r>
      <w:r w:rsidR="008C5A95">
        <w:t xml:space="preserve"> which involve</w:t>
      </w:r>
      <w:r w:rsidR="000933EC">
        <w:t xml:space="preserve"> patients tra</w:t>
      </w:r>
      <w:r w:rsidR="00CA7FB6">
        <w:t xml:space="preserve">nsitioning </w:t>
      </w:r>
      <w:r w:rsidR="00420F38">
        <w:t>from a reference biologic drug to</w:t>
      </w:r>
      <w:r w:rsidR="00263F9A">
        <w:t xml:space="preserve"> </w:t>
      </w:r>
      <w:r w:rsidR="009337A1">
        <w:t>their biosimilar</w:t>
      </w:r>
      <w:r w:rsidR="00420F38">
        <w:t xml:space="preserve"> version</w:t>
      </w:r>
      <w:r w:rsidR="00263F9A">
        <w:t>s</w:t>
      </w:r>
      <w:r w:rsidR="006400AC">
        <w:t>,</w:t>
      </w:r>
      <w:r w:rsidR="0080538F">
        <w:t xml:space="preserve"> </w:t>
      </w:r>
      <w:r w:rsidR="00205E8D">
        <w:t>providing</w:t>
      </w:r>
      <w:r w:rsidR="001B0D64">
        <w:t xml:space="preserve"> </w:t>
      </w:r>
      <w:r w:rsidR="003411FC">
        <w:t xml:space="preserve">valuable experience, </w:t>
      </w:r>
      <w:r w:rsidR="00205E8D">
        <w:t xml:space="preserve">key </w:t>
      </w:r>
      <w:r w:rsidR="00F37C93">
        <w:t>learnings,</w:t>
      </w:r>
      <w:r w:rsidR="003411FC">
        <w:t xml:space="preserve"> and positive results</w:t>
      </w:r>
      <w:r>
        <w:t>.</w:t>
      </w:r>
      <w:r w:rsidR="00532AD0">
        <w:t xml:space="preserve"> </w:t>
      </w:r>
    </w:p>
    <w:p w14:paraId="70FCCE00" w14:textId="6565ABE5" w:rsidR="00B60C07" w:rsidRDefault="002D52EE" w:rsidP="00CD596C">
      <w:pPr>
        <w:spacing w:line="240" w:lineRule="exact"/>
      </w:pPr>
      <w:r>
        <w:t xml:space="preserve">Please note that as of </w:t>
      </w:r>
      <w:r w:rsidR="00FF2D76">
        <w:t>__________</w:t>
      </w:r>
      <w:r w:rsidR="008E5503">
        <w:t xml:space="preserve">, </w:t>
      </w:r>
      <w:r w:rsidR="00422EF4">
        <w:t xml:space="preserve">plan </w:t>
      </w:r>
      <w:r w:rsidR="008E5503">
        <w:t>members</w:t>
      </w:r>
      <w:r w:rsidR="004A29C1">
        <w:t xml:space="preserve"> using the following reference biologic drug</w:t>
      </w:r>
      <w:r w:rsidR="008E5503">
        <w:t xml:space="preserve"> will be </w:t>
      </w:r>
      <w:r w:rsidR="00422EF4">
        <w:t>required to</w:t>
      </w:r>
      <w:r w:rsidR="00B27B08">
        <w:t xml:space="preserve"> </w:t>
      </w:r>
      <w:r w:rsidR="002C1F69">
        <w:t xml:space="preserve">have </w:t>
      </w:r>
      <w:r w:rsidR="005F67EC">
        <w:t>transitioned</w:t>
      </w:r>
      <w:r w:rsidR="00F37C93">
        <w:t xml:space="preserve"> to</w:t>
      </w:r>
      <w:r w:rsidR="008E5503">
        <w:t xml:space="preserve"> </w:t>
      </w:r>
      <w:r w:rsidR="00F37C93">
        <w:t>their</w:t>
      </w:r>
      <w:r w:rsidR="008E5503">
        <w:t xml:space="preserve"> biosimilar</w:t>
      </w:r>
      <w:r w:rsidR="001751B8">
        <w:t xml:space="preserve"> version</w:t>
      </w:r>
      <w:r w:rsidR="00F37C93">
        <w:t>s</w:t>
      </w:r>
      <w:r w:rsidR="00251F1D">
        <w:t>:</w:t>
      </w:r>
    </w:p>
    <w:p w14:paraId="08806C93" w14:textId="77777777" w:rsidR="00764CAC" w:rsidRDefault="00764CAC" w:rsidP="00CD596C">
      <w:pPr>
        <w:spacing w:line="240" w:lineRule="exact"/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150"/>
        <w:gridCol w:w="2880"/>
        <w:gridCol w:w="2425"/>
      </w:tblGrid>
      <w:tr w:rsidR="007A397B" w14:paraId="03D648B4" w14:textId="5DA29D99" w:rsidTr="00B60C07">
        <w:tc>
          <w:tcPr>
            <w:tcW w:w="3150" w:type="dxa"/>
          </w:tcPr>
          <w:p w14:paraId="017CA9A8" w14:textId="77777777" w:rsidR="007A397B" w:rsidRDefault="007A397B" w:rsidP="001C19F7">
            <w:pPr>
              <w:pStyle w:val="ListParagraph"/>
              <w:spacing w:line="24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Reference </w:t>
            </w:r>
            <w:r w:rsidRPr="001C19F7">
              <w:rPr>
                <w:b/>
                <w:bCs/>
              </w:rPr>
              <w:t>Biologic</w:t>
            </w:r>
            <w:r>
              <w:rPr>
                <w:b/>
                <w:bCs/>
              </w:rPr>
              <w:t xml:space="preserve"> Brand</w:t>
            </w:r>
            <w:r w:rsidRPr="001C19F7">
              <w:rPr>
                <w:b/>
                <w:bCs/>
              </w:rPr>
              <w:t xml:space="preserve"> Name</w:t>
            </w:r>
          </w:p>
          <w:p w14:paraId="352CC16B" w14:textId="7A7DE59C" w:rsidR="007A397B" w:rsidRPr="001C19F7" w:rsidRDefault="007A397B" w:rsidP="001C19F7">
            <w:pPr>
              <w:pStyle w:val="ListParagraph"/>
              <w:spacing w:line="24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(Transition from)</w:t>
            </w:r>
          </w:p>
        </w:tc>
        <w:tc>
          <w:tcPr>
            <w:tcW w:w="2880" w:type="dxa"/>
          </w:tcPr>
          <w:p w14:paraId="5772516A" w14:textId="77777777" w:rsidR="007A397B" w:rsidRDefault="007A397B" w:rsidP="001C19F7">
            <w:pPr>
              <w:pStyle w:val="ListParagraph"/>
              <w:spacing w:line="240" w:lineRule="exact"/>
              <w:ind w:left="0"/>
              <w:jc w:val="center"/>
              <w:rPr>
                <w:b/>
                <w:bCs/>
              </w:rPr>
            </w:pPr>
            <w:r w:rsidRPr="001C19F7">
              <w:rPr>
                <w:b/>
                <w:bCs/>
              </w:rPr>
              <w:t>Biosimilar</w:t>
            </w:r>
            <w:r>
              <w:rPr>
                <w:b/>
                <w:bCs/>
              </w:rPr>
              <w:t xml:space="preserve"> Brand</w:t>
            </w:r>
            <w:r w:rsidRPr="001C19F7">
              <w:rPr>
                <w:b/>
                <w:bCs/>
              </w:rPr>
              <w:t xml:space="preserve"> Name</w:t>
            </w:r>
          </w:p>
          <w:p w14:paraId="1104E51D" w14:textId="1648865F" w:rsidR="007A397B" w:rsidRPr="001C19F7" w:rsidRDefault="007A397B" w:rsidP="001C19F7">
            <w:pPr>
              <w:pStyle w:val="ListParagraph"/>
              <w:spacing w:line="24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(Transition To)</w:t>
            </w:r>
          </w:p>
        </w:tc>
        <w:tc>
          <w:tcPr>
            <w:tcW w:w="2425" w:type="dxa"/>
          </w:tcPr>
          <w:p w14:paraId="4284D537" w14:textId="7C580357" w:rsidR="007A397B" w:rsidRPr="001C19F7" w:rsidRDefault="007A397B" w:rsidP="001C19F7">
            <w:pPr>
              <w:pStyle w:val="ListParagraph"/>
              <w:spacing w:line="24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Health Conditions</w:t>
            </w:r>
          </w:p>
        </w:tc>
      </w:tr>
      <w:tr w:rsidR="007A397B" w14:paraId="3900A44B" w14:textId="11B1BAC4" w:rsidTr="00B60C07">
        <w:tc>
          <w:tcPr>
            <w:tcW w:w="3150" w:type="dxa"/>
          </w:tcPr>
          <w:p w14:paraId="4EAFD996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880" w:type="dxa"/>
          </w:tcPr>
          <w:p w14:paraId="4B3B322C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425" w:type="dxa"/>
          </w:tcPr>
          <w:p w14:paraId="6A56A25B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</w:tr>
      <w:tr w:rsidR="007A397B" w14:paraId="348585A3" w14:textId="17B2ACB7" w:rsidTr="00B60C07">
        <w:tc>
          <w:tcPr>
            <w:tcW w:w="3150" w:type="dxa"/>
          </w:tcPr>
          <w:p w14:paraId="68AB90B5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880" w:type="dxa"/>
          </w:tcPr>
          <w:p w14:paraId="18DB6A30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425" w:type="dxa"/>
          </w:tcPr>
          <w:p w14:paraId="3C98AE50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</w:tr>
      <w:tr w:rsidR="007A397B" w14:paraId="2845814F" w14:textId="6DF77110" w:rsidTr="00B60C07">
        <w:tc>
          <w:tcPr>
            <w:tcW w:w="3150" w:type="dxa"/>
          </w:tcPr>
          <w:p w14:paraId="01647BA9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880" w:type="dxa"/>
          </w:tcPr>
          <w:p w14:paraId="06E8B3C7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425" w:type="dxa"/>
          </w:tcPr>
          <w:p w14:paraId="48B9521F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</w:tr>
      <w:tr w:rsidR="007A397B" w14:paraId="5E7E72A4" w14:textId="781611A9" w:rsidTr="00B60C07">
        <w:tc>
          <w:tcPr>
            <w:tcW w:w="3150" w:type="dxa"/>
          </w:tcPr>
          <w:p w14:paraId="0D7E7288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880" w:type="dxa"/>
          </w:tcPr>
          <w:p w14:paraId="46FC776D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425" w:type="dxa"/>
          </w:tcPr>
          <w:p w14:paraId="01B07DFA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</w:tr>
      <w:tr w:rsidR="007A397B" w14:paraId="4C6452EF" w14:textId="79C36691" w:rsidTr="00B60C07">
        <w:tc>
          <w:tcPr>
            <w:tcW w:w="3150" w:type="dxa"/>
          </w:tcPr>
          <w:p w14:paraId="3400DE3D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880" w:type="dxa"/>
          </w:tcPr>
          <w:p w14:paraId="205A89C7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425" w:type="dxa"/>
          </w:tcPr>
          <w:p w14:paraId="5842C0DC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</w:tr>
      <w:tr w:rsidR="007A397B" w14:paraId="7269BF8C" w14:textId="78F86A4C" w:rsidTr="00B60C07">
        <w:tc>
          <w:tcPr>
            <w:tcW w:w="3150" w:type="dxa"/>
          </w:tcPr>
          <w:p w14:paraId="3FCE8B24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880" w:type="dxa"/>
          </w:tcPr>
          <w:p w14:paraId="71BCC8A1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425" w:type="dxa"/>
          </w:tcPr>
          <w:p w14:paraId="6D12D0E7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</w:tr>
      <w:tr w:rsidR="007A397B" w14:paraId="48D68015" w14:textId="4D5DAFF6" w:rsidTr="00B60C07">
        <w:tc>
          <w:tcPr>
            <w:tcW w:w="3150" w:type="dxa"/>
          </w:tcPr>
          <w:p w14:paraId="5DE64FD3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880" w:type="dxa"/>
          </w:tcPr>
          <w:p w14:paraId="67913621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  <w:tc>
          <w:tcPr>
            <w:tcW w:w="2425" w:type="dxa"/>
          </w:tcPr>
          <w:p w14:paraId="1E344F74" w14:textId="77777777" w:rsidR="007A397B" w:rsidRDefault="007A397B" w:rsidP="001C19F7">
            <w:pPr>
              <w:pStyle w:val="ListParagraph"/>
              <w:spacing w:line="240" w:lineRule="exact"/>
              <w:ind w:left="0"/>
            </w:pPr>
          </w:p>
        </w:tc>
      </w:tr>
    </w:tbl>
    <w:p w14:paraId="7C1AE0A3" w14:textId="07C4013F" w:rsidR="2EB43415" w:rsidRDefault="2EB43415" w:rsidP="001C19F7">
      <w:pPr>
        <w:pStyle w:val="ListParagraph"/>
        <w:spacing w:line="240" w:lineRule="exact"/>
      </w:pPr>
    </w:p>
    <w:p w14:paraId="611B4B8C" w14:textId="428392F9" w:rsidR="00CB468C" w:rsidRDefault="00CB468C" w:rsidP="4768404C">
      <w:pPr>
        <w:spacing w:line="240" w:lineRule="exact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What</w:t>
      </w:r>
      <w:r w:rsidR="009A285C">
        <w:rPr>
          <w:rFonts w:ascii="Calibri" w:eastAsia="Calibri" w:hAnsi="Calibri" w:cs="Calibri"/>
          <w:b/>
          <w:bCs/>
          <w:u w:val="single"/>
        </w:rPr>
        <w:t xml:space="preserve"> are biologics and </w:t>
      </w:r>
      <w:r>
        <w:rPr>
          <w:rFonts w:ascii="Calibri" w:eastAsia="Calibri" w:hAnsi="Calibri" w:cs="Calibri"/>
          <w:b/>
          <w:bCs/>
          <w:u w:val="single"/>
        </w:rPr>
        <w:t>biosimilar</w:t>
      </w:r>
      <w:r w:rsidR="009A285C">
        <w:rPr>
          <w:rFonts w:ascii="Calibri" w:eastAsia="Calibri" w:hAnsi="Calibri" w:cs="Calibri"/>
          <w:b/>
          <w:bCs/>
          <w:u w:val="single"/>
        </w:rPr>
        <w:t>s</w:t>
      </w:r>
      <w:r>
        <w:rPr>
          <w:rFonts w:ascii="Calibri" w:eastAsia="Calibri" w:hAnsi="Calibri" w:cs="Calibri"/>
          <w:b/>
          <w:bCs/>
          <w:u w:val="single"/>
        </w:rPr>
        <w:t>?</w:t>
      </w:r>
    </w:p>
    <w:p w14:paraId="1165B2AA" w14:textId="088A6187" w:rsidR="009A285C" w:rsidRDefault="009F621D" w:rsidP="4768404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Biologic drugs</w:t>
      </w:r>
      <w:r w:rsidR="00541F3E">
        <w:rPr>
          <w:rFonts w:ascii="Calibri" w:eastAsia="Calibri" w:hAnsi="Calibri" w:cs="Calibri"/>
        </w:rPr>
        <w:t xml:space="preserve"> are created from living </w:t>
      </w:r>
      <w:r w:rsidR="006B1A09">
        <w:rPr>
          <w:rFonts w:ascii="Calibri" w:eastAsia="Calibri" w:hAnsi="Calibri" w:cs="Calibri"/>
        </w:rPr>
        <w:t>cells</w:t>
      </w:r>
      <w:r w:rsidR="004A5AD3">
        <w:rPr>
          <w:rFonts w:ascii="Calibri" w:eastAsia="Calibri" w:hAnsi="Calibri" w:cs="Calibri"/>
        </w:rPr>
        <w:t xml:space="preserve"> through a complex manufacturing process and used to treat </w:t>
      </w:r>
      <w:r w:rsidR="00F84F06">
        <w:rPr>
          <w:rFonts w:ascii="Calibri" w:eastAsia="Calibri" w:hAnsi="Calibri" w:cs="Calibri"/>
        </w:rPr>
        <w:t>diseases such</w:t>
      </w:r>
      <w:r w:rsidR="000726C6">
        <w:rPr>
          <w:rFonts w:ascii="Calibri" w:eastAsia="Calibri" w:hAnsi="Calibri" w:cs="Calibri"/>
        </w:rPr>
        <w:t xml:space="preserve"> </w:t>
      </w:r>
      <w:r w:rsidR="00F84F06">
        <w:rPr>
          <w:rFonts w:ascii="Calibri" w:eastAsia="Calibri" w:hAnsi="Calibri" w:cs="Calibri"/>
        </w:rPr>
        <w:t xml:space="preserve">as </w:t>
      </w:r>
      <w:r w:rsidR="006B7B52">
        <w:rPr>
          <w:rFonts w:ascii="Calibri" w:eastAsia="Calibri" w:hAnsi="Calibri" w:cs="Calibri"/>
        </w:rPr>
        <w:t xml:space="preserve">arthritis, </w:t>
      </w:r>
      <w:r w:rsidR="009A4174">
        <w:rPr>
          <w:rFonts w:ascii="Calibri" w:eastAsia="Calibri" w:hAnsi="Calibri" w:cs="Calibri"/>
        </w:rPr>
        <w:t>diabetes,</w:t>
      </w:r>
      <w:r w:rsidR="006B7B52">
        <w:rPr>
          <w:rFonts w:ascii="Calibri" w:eastAsia="Calibri" w:hAnsi="Calibri" w:cs="Calibri"/>
        </w:rPr>
        <w:t xml:space="preserve"> and inflammatory bowel disease.  The first version of a biologic drug created is </w:t>
      </w:r>
      <w:r w:rsidR="00A42964">
        <w:rPr>
          <w:rFonts w:ascii="Calibri" w:eastAsia="Calibri" w:hAnsi="Calibri" w:cs="Calibri"/>
        </w:rPr>
        <w:t>known as the “originator</w:t>
      </w:r>
      <w:r w:rsidR="006A204C">
        <w:rPr>
          <w:rFonts w:ascii="Calibri" w:eastAsia="Calibri" w:hAnsi="Calibri" w:cs="Calibri"/>
        </w:rPr>
        <w:t>”</w:t>
      </w:r>
      <w:r w:rsidR="00A42964">
        <w:rPr>
          <w:rFonts w:ascii="Calibri" w:eastAsia="Calibri" w:hAnsi="Calibri" w:cs="Calibri"/>
        </w:rPr>
        <w:t xml:space="preserve"> or </w:t>
      </w:r>
      <w:r w:rsidR="006A204C">
        <w:rPr>
          <w:rFonts w:ascii="Calibri" w:eastAsia="Calibri" w:hAnsi="Calibri" w:cs="Calibri"/>
        </w:rPr>
        <w:t>“</w:t>
      </w:r>
      <w:r w:rsidR="00A42964">
        <w:rPr>
          <w:rFonts w:ascii="Calibri" w:eastAsia="Calibri" w:hAnsi="Calibri" w:cs="Calibri"/>
        </w:rPr>
        <w:t>Reference Biologic Drug</w:t>
      </w:r>
      <w:r w:rsidR="001730D6">
        <w:rPr>
          <w:rFonts w:ascii="Calibri" w:eastAsia="Calibri" w:hAnsi="Calibri" w:cs="Calibri"/>
        </w:rPr>
        <w:t>”</w:t>
      </w:r>
      <w:r w:rsidR="00A42964">
        <w:rPr>
          <w:rFonts w:ascii="Calibri" w:eastAsia="Calibri" w:hAnsi="Calibri" w:cs="Calibri"/>
        </w:rPr>
        <w:t>.</w:t>
      </w:r>
      <w:r w:rsidR="00C84DF9">
        <w:rPr>
          <w:rFonts w:ascii="Calibri" w:eastAsia="Calibri" w:hAnsi="Calibri" w:cs="Calibri"/>
        </w:rPr>
        <w:t xml:space="preserve">  Once the patent on the reference biologic drug</w:t>
      </w:r>
      <w:r w:rsidR="00F534D4">
        <w:rPr>
          <w:rFonts w:ascii="Calibri" w:eastAsia="Calibri" w:hAnsi="Calibri" w:cs="Calibri"/>
        </w:rPr>
        <w:t xml:space="preserve"> expires, other manufacturers are allowed to make their own version</w:t>
      </w:r>
      <w:r w:rsidR="00863D54">
        <w:rPr>
          <w:rFonts w:ascii="Calibri" w:eastAsia="Calibri" w:hAnsi="Calibri" w:cs="Calibri"/>
        </w:rPr>
        <w:t>s of those drugs, called biosimilars.</w:t>
      </w:r>
    </w:p>
    <w:p w14:paraId="2DB12CCC" w14:textId="14469866" w:rsidR="009A285C" w:rsidRDefault="007770F8" w:rsidP="4768404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Health Canada must approve each biosimilar</w:t>
      </w:r>
      <w:r w:rsidR="00593A18">
        <w:rPr>
          <w:rFonts w:ascii="Calibri" w:eastAsia="Calibri" w:hAnsi="Calibri" w:cs="Calibri"/>
        </w:rPr>
        <w:t xml:space="preserve"> drug</w:t>
      </w:r>
      <w:r w:rsidR="00581223">
        <w:rPr>
          <w:rFonts w:ascii="Calibri" w:eastAsia="Calibri" w:hAnsi="Calibri" w:cs="Calibri"/>
        </w:rPr>
        <w:t xml:space="preserve"> </w:t>
      </w:r>
      <w:r w:rsidR="00912C76">
        <w:rPr>
          <w:rFonts w:ascii="Calibri" w:eastAsia="Calibri" w:hAnsi="Calibri" w:cs="Calibri"/>
        </w:rPr>
        <w:t xml:space="preserve">before they </w:t>
      </w:r>
      <w:r w:rsidR="005F67EC">
        <w:rPr>
          <w:rFonts w:ascii="Calibri" w:eastAsia="Calibri" w:hAnsi="Calibri" w:cs="Calibri"/>
        </w:rPr>
        <w:t>can</w:t>
      </w:r>
      <w:r w:rsidR="00912C76">
        <w:rPr>
          <w:rFonts w:ascii="Calibri" w:eastAsia="Calibri" w:hAnsi="Calibri" w:cs="Calibri"/>
        </w:rPr>
        <w:t xml:space="preserve"> be used by Canad</w:t>
      </w:r>
      <w:r w:rsidR="00DA5573">
        <w:rPr>
          <w:rFonts w:ascii="Calibri" w:eastAsia="Calibri" w:hAnsi="Calibri" w:cs="Calibri"/>
        </w:rPr>
        <w:t>ian</w:t>
      </w:r>
      <w:r w:rsidR="00912C76">
        <w:rPr>
          <w:rFonts w:ascii="Calibri" w:eastAsia="Calibri" w:hAnsi="Calibri" w:cs="Calibri"/>
        </w:rPr>
        <w:t xml:space="preserve"> patients</w:t>
      </w:r>
      <w:r w:rsidR="008C7C86">
        <w:rPr>
          <w:rFonts w:ascii="Calibri" w:eastAsia="Calibri" w:hAnsi="Calibri" w:cs="Calibri"/>
        </w:rPr>
        <w:t xml:space="preserve">.  Their </w:t>
      </w:r>
      <w:r w:rsidR="004C796E">
        <w:rPr>
          <w:rFonts w:ascii="Calibri" w:eastAsia="Calibri" w:hAnsi="Calibri" w:cs="Calibri"/>
        </w:rPr>
        <w:t>rigorous standards for approval</w:t>
      </w:r>
      <w:r w:rsidR="00912C76">
        <w:rPr>
          <w:rFonts w:ascii="Calibri" w:eastAsia="Calibri" w:hAnsi="Calibri" w:cs="Calibri"/>
        </w:rPr>
        <w:t xml:space="preserve"> </w:t>
      </w:r>
      <w:r w:rsidR="00593A18">
        <w:rPr>
          <w:rFonts w:ascii="Calibri" w:eastAsia="Calibri" w:hAnsi="Calibri" w:cs="Calibri"/>
        </w:rPr>
        <w:t>ensure there</w:t>
      </w:r>
      <w:r w:rsidR="00912C76">
        <w:rPr>
          <w:rFonts w:ascii="Calibri" w:eastAsia="Calibri" w:hAnsi="Calibri" w:cs="Calibri"/>
        </w:rPr>
        <w:t xml:space="preserve"> are no clinically meani</w:t>
      </w:r>
      <w:r w:rsidR="007132DE">
        <w:rPr>
          <w:rFonts w:ascii="Calibri" w:eastAsia="Calibri" w:hAnsi="Calibri" w:cs="Calibri"/>
        </w:rPr>
        <w:t>ngful differences in terms of safety and efficacy versus the reference biologic drug</w:t>
      </w:r>
      <w:r w:rsidR="00B21C24">
        <w:rPr>
          <w:rFonts w:ascii="Calibri" w:eastAsia="Calibri" w:hAnsi="Calibri" w:cs="Calibri"/>
        </w:rPr>
        <w:t xml:space="preserve"> and that patients and healthcare providers can have the same confidence</w:t>
      </w:r>
      <w:r w:rsidR="00FC36C1">
        <w:rPr>
          <w:rFonts w:ascii="Calibri" w:eastAsia="Calibri" w:hAnsi="Calibri" w:cs="Calibri"/>
        </w:rPr>
        <w:t xml:space="preserve"> in biosimilars as any other biologic drug</w:t>
      </w:r>
      <w:bookmarkStart w:id="0" w:name="_Ref74570509"/>
      <w:r w:rsidR="00303C5C">
        <w:rPr>
          <w:rStyle w:val="EndnoteReference"/>
          <w:rFonts w:ascii="Calibri" w:eastAsia="Calibri" w:hAnsi="Calibri" w:cs="Calibri"/>
        </w:rPr>
        <w:endnoteReference w:id="2"/>
      </w:r>
      <w:bookmarkEnd w:id="0"/>
      <w:r w:rsidR="00FC36C1">
        <w:rPr>
          <w:rFonts w:ascii="Calibri" w:eastAsia="Calibri" w:hAnsi="Calibri" w:cs="Calibri"/>
        </w:rPr>
        <w:t>.</w:t>
      </w:r>
    </w:p>
    <w:p w14:paraId="77535730" w14:textId="2982F7E9" w:rsidR="000D4BFF" w:rsidRDefault="000D4BFF" w:rsidP="4768404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more </w:t>
      </w:r>
      <w:r w:rsidR="00C94E77">
        <w:rPr>
          <w:rFonts w:ascii="Calibri" w:eastAsia="Calibri" w:hAnsi="Calibri" w:cs="Calibri"/>
        </w:rPr>
        <w:t>information,</w:t>
      </w:r>
      <w:r>
        <w:rPr>
          <w:rFonts w:ascii="Calibri" w:eastAsia="Calibri" w:hAnsi="Calibri" w:cs="Calibri"/>
        </w:rPr>
        <w:t xml:space="preserve"> please </w:t>
      </w:r>
      <w:r w:rsidR="00A25AEB">
        <w:rPr>
          <w:rFonts w:ascii="Calibri" w:eastAsia="Calibri" w:hAnsi="Calibri" w:cs="Calibri"/>
        </w:rPr>
        <w:t xml:space="preserve">see the list of </w:t>
      </w:r>
      <w:r w:rsidR="00862EC4">
        <w:rPr>
          <w:rFonts w:ascii="Calibri" w:eastAsia="Calibri" w:hAnsi="Calibri" w:cs="Calibri"/>
        </w:rPr>
        <w:t xml:space="preserve">biosimilars </w:t>
      </w:r>
      <w:r w:rsidR="00605187">
        <w:rPr>
          <w:rFonts w:ascii="Calibri" w:eastAsia="Calibri" w:hAnsi="Calibri" w:cs="Calibri"/>
        </w:rPr>
        <w:t>resource</w:t>
      </w:r>
      <w:r w:rsidR="00726F7E">
        <w:rPr>
          <w:rFonts w:ascii="Calibri" w:eastAsia="Calibri" w:hAnsi="Calibri" w:cs="Calibri"/>
        </w:rPr>
        <w:t>s available:</w:t>
      </w:r>
    </w:p>
    <w:p w14:paraId="3A8AF8BB" w14:textId="4E63ED2C" w:rsidR="00611B31" w:rsidRDefault="009A3026" w:rsidP="00611B31">
      <w:pPr>
        <w:pStyle w:val="ListParagraph"/>
        <w:numPr>
          <w:ilvl w:val="0"/>
          <w:numId w:val="4"/>
        </w:numPr>
        <w:spacing w:line="240" w:lineRule="exact"/>
        <w:rPr>
          <w:rFonts w:ascii="Calibri" w:eastAsia="Calibri" w:hAnsi="Calibri" w:cs="Calibri"/>
        </w:rPr>
      </w:pPr>
      <w:hyperlink r:id="rId11" w:history="1">
        <w:r w:rsidR="00467503">
          <w:rPr>
            <w:rStyle w:val="Hyperlink"/>
            <w:rFonts w:ascii="Calibri" w:eastAsia="Calibri" w:hAnsi="Calibri" w:cs="Calibri"/>
          </w:rPr>
          <w:t>Health Canada Biosimilars Fact Sheet</w:t>
        </w:r>
      </w:hyperlink>
      <w:r w:rsidR="00183FC6">
        <w:rPr>
          <w:rStyle w:val="Hyperlink"/>
          <w:rFonts w:ascii="Calibri" w:eastAsia="Calibri" w:hAnsi="Calibri" w:cs="Calibri"/>
        </w:rPr>
        <w:t xml:space="preserve"> </w:t>
      </w:r>
      <w:r w:rsidR="00183FC6" w:rsidRPr="00183FC6">
        <w:rPr>
          <w:rStyle w:val="Hyperlink"/>
          <w:rFonts w:ascii="Calibri" w:eastAsia="Calibri" w:hAnsi="Calibri" w:cs="Calibri"/>
          <w:vertAlign w:val="superscript"/>
        </w:rPr>
        <w:fldChar w:fldCharType="begin"/>
      </w:r>
      <w:r w:rsidR="00183FC6" w:rsidRPr="00183FC6">
        <w:rPr>
          <w:rStyle w:val="Hyperlink"/>
          <w:rFonts w:ascii="Calibri" w:eastAsia="Calibri" w:hAnsi="Calibri" w:cs="Calibri"/>
          <w:vertAlign w:val="superscript"/>
        </w:rPr>
        <w:instrText xml:space="preserve"> NOTEREF _Ref74570509 \h </w:instrText>
      </w:r>
      <w:r w:rsidR="00183FC6">
        <w:rPr>
          <w:rStyle w:val="Hyperlink"/>
          <w:rFonts w:ascii="Calibri" w:eastAsia="Calibri" w:hAnsi="Calibri" w:cs="Calibri"/>
          <w:vertAlign w:val="superscript"/>
        </w:rPr>
        <w:instrText xml:space="preserve"> \* MERGEFORMAT </w:instrText>
      </w:r>
      <w:r w:rsidR="00183FC6" w:rsidRPr="00183FC6">
        <w:rPr>
          <w:rStyle w:val="Hyperlink"/>
          <w:rFonts w:ascii="Calibri" w:eastAsia="Calibri" w:hAnsi="Calibri" w:cs="Calibri"/>
          <w:vertAlign w:val="superscript"/>
        </w:rPr>
      </w:r>
      <w:r w:rsidR="00183FC6" w:rsidRPr="00183FC6">
        <w:rPr>
          <w:rStyle w:val="Hyperlink"/>
          <w:rFonts w:ascii="Calibri" w:eastAsia="Calibri" w:hAnsi="Calibri" w:cs="Calibri"/>
          <w:vertAlign w:val="superscript"/>
        </w:rPr>
        <w:fldChar w:fldCharType="separate"/>
      </w:r>
      <w:r w:rsidR="00183FC6" w:rsidRPr="00183FC6">
        <w:rPr>
          <w:rStyle w:val="Hyperlink"/>
          <w:rFonts w:ascii="Calibri" w:eastAsia="Calibri" w:hAnsi="Calibri" w:cs="Calibri"/>
          <w:vertAlign w:val="superscript"/>
        </w:rPr>
        <w:t>i</w:t>
      </w:r>
      <w:r w:rsidR="00183FC6" w:rsidRPr="00183FC6">
        <w:rPr>
          <w:rStyle w:val="Hyperlink"/>
          <w:rFonts w:ascii="Calibri" w:eastAsia="Calibri" w:hAnsi="Calibri" w:cs="Calibri"/>
          <w:vertAlign w:val="superscript"/>
        </w:rPr>
        <w:fldChar w:fldCharType="end"/>
      </w:r>
      <w:r w:rsidR="007273C3" w:rsidRPr="00183FC6">
        <w:rPr>
          <w:rStyle w:val="Hyperlink"/>
          <w:rFonts w:ascii="Calibri" w:eastAsia="Calibri" w:hAnsi="Calibri" w:cs="Calibri"/>
          <w:vertAlign w:val="superscript"/>
        </w:rPr>
        <w:t xml:space="preserve"> </w:t>
      </w:r>
    </w:p>
    <w:p w14:paraId="569A43C0" w14:textId="5B2CFB65" w:rsidR="00611B31" w:rsidRDefault="009A3026" w:rsidP="00611B31">
      <w:pPr>
        <w:pStyle w:val="ListParagraph"/>
        <w:numPr>
          <w:ilvl w:val="0"/>
          <w:numId w:val="4"/>
        </w:numPr>
        <w:spacing w:line="240" w:lineRule="exact"/>
        <w:rPr>
          <w:rFonts w:ascii="Calibri" w:eastAsia="Calibri" w:hAnsi="Calibri" w:cs="Calibri"/>
        </w:rPr>
      </w:pPr>
      <w:hyperlink r:id="rId12" w:history="1">
        <w:r w:rsidR="002F4E77" w:rsidRPr="002F4E77">
          <w:rPr>
            <w:rStyle w:val="Hyperlink"/>
            <w:rFonts w:ascii="Calibri" w:eastAsia="Calibri" w:hAnsi="Calibri" w:cs="Calibri"/>
          </w:rPr>
          <w:t xml:space="preserve">Canadian </w:t>
        </w:r>
        <w:r w:rsidR="000F771A" w:rsidRPr="002F4E77">
          <w:rPr>
            <w:rStyle w:val="Hyperlink"/>
            <w:rFonts w:ascii="Calibri" w:eastAsia="Calibri" w:hAnsi="Calibri" w:cs="Calibri"/>
          </w:rPr>
          <w:t>Biosimilars Forum</w:t>
        </w:r>
      </w:hyperlink>
      <w:r w:rsidR="00DA1C49">
        <w:rPr>
          <w:rStyle w:val="EndnoteReference"/>
          <w:rFonts w:ascii="Calibri" w:eastAsia="Calibri" w:hAnsi="Calibri" w:cs="Calibri"/>
          <w:color w:val="0563C1" w:themeColor="hyperlink"/>
          <w:u w:val="single"/>
        </w:rPr>
        <w:endnoteReference w:id="3"/>
      </w:r>
      <w:r w:rsidR="009B7C7C">
        <w:rPr>
          <w:rStyle w:val="Hyperlink"/>
          <w:rFonts w:ascii="Calibri" w:eastAsia="Calibri" w:hAnsi="Calibri" w:cs="Calibri"/>
        </w:rPr>
        <w:t xml:space="preserve"> </w:t>
      </w:r>
    </w:p>
    <w:p w14:paraId="2259A536" w14:textId="7D1512BA" w:rsidR="009A46B0" w:rsidRDefault="009A3026" w:rsidP="00611B31">
      <w:pPr>
        <w:pStyle w:val="ListParagraph"/>
        <w:numPr>
          <w:ilvl w:val="0"/>
          <w:numId w:val="4"/>
        </w:numPr>
        <w:spacing w:line="240" w:lineRule="exact"/>
        <w:rPr>
          <w:rFonts w:ascii="Calibri" w:eastAsia="Calibri" w:hAnsi="Calibri" w:cs="Calibri"/>
        </w:rPr>
      </w:pPr>
      <w:hyperlink r:id="rId13" w:history="1">
        <w:r w:rsidR="00D5218B">
          <w:rPr>
            <w:rStyle w:val="Hyperlink"/>
          </w:rPr>
          <w:t>Canadian Digestive Health Foundation (CDHF): Biosimilar Library</w:t>
        </w:r>
      </w:hyperlink>
      <w:r w:rsidR="0014278D">
        <w:rPr>
          <w:rStyle w:val="EndnoteReference"/>
          <w:color w:val="0563C1" w:themeColor="hyperlink"/>
          <w:u w:val="single"/>
        </w:rPr>
        <w:endnoteReference w:id="4"/>
      </w:r>
    </w:p>
    <w:p w14:paraId="725A08BD" w14:textId="53749FB6" w:rsidR="002F4E77" w:rsidRDefault="009A3026" w:rsidP="00611B31">
      <w:pPr>
        <w:pStyle w:val="ListParagraph"/>
        <w:numPr>
          <w:ilvl w:val="0"/>
          <w:numId w:val="4"/>
        </w:numPr>
        <w:spacing w:line="240" w:lineRule="exact"/>
        <w:rPr>
          <w:rFonts w:ascii="Calibri" w:eastAsia="Calibri" w:hAnsi="Calibri" w:cs="Calibri"/>
        </w:rPr>
      </w:pPr>
      <w:hyperlink r:id="rId14" w:history="1">
        <w:r w:rsidR="00827076" w:rsidRPr="00827076">
          <w:rPr>
            <w:rStyle w:val="Hyperlink"/>
            <w:rFonts w:ascii="Calibri" w:eastAsia="Calibri" w:hAnsi="Calibri" w:cs="Calibri"/>
          </w:rPr>
          <w:t>Arthritis Society</w:t>
        </w:r>
      </w:hyperlink>
      <w:r w:rsidR="00312AFA">
        <w:rPr>
          <w:rStyle w:val="EndnoteReference"/>
          <w:rFonts w:ascii="Calibri" w:eastAsia="Calibri" w:hAnsi="Calibri" w:cs="Calibri"/>
          <w:color w:val="0563C1" w:themeColor="hyperlink"/>
          <w:u w:val="single"/>
        </w:rPr>
        <w:endnoteReference w:id="5"/>
      </w:r>
      <w:r w:rsidR="007212AB">
        <w:rPr>
          <w:rFonts w:ascii="Calibri" w:eastAsia="Calibri" w:hAnsi="Calibri" w:cs="Calibri"/>
        </w:rPr>
        <w:t xml:space="preserve"> </w:t>
      </w:r>
    </w:p>
    <w:p w14:paraId="4CA7434A" w14:textId="7E07ED34" w:rsidR="00FB623B" w:rsidRDefault="009A3026" w:rsidP="00FB623B">
      <w:pPr>
        <w:pStyle w:val="ListParagraph"/>
        <w:numPr>
          <w:ilvl w:val="0"/>
          <w:numId w:val="4"/>
        </w:numPr>
        <w:spacing w:line="240" w:lineRule="exact"/>
        <w:rPr>
          <w:rFonts w:ascii="Calibri" w:eastAsia="Calibri" w:hAnsi="Calibri" w:cs="Calibri"/>
        </w:rPr>
      </w:pPr>
      <w:hyperlink r:id="rId15" w:history="1">
        <w:r w:rsidR="00A9635A">
          <w:rPr>
            <w:rStyle w:val="Hyperlink"/>
            <w:rFonts w:ascii="Calibri" w:eastAsia="Calibri" w:hAnsi="Calibri" w:cs="Calibri"/>
          </w:rPr>
          <w:t xml:space="preserve">Arthritis Consumer Experts (ACE): </w:t>
        </w:r>
        <w:proofErr w:type="spellStart"/>
        <w:r w:rsidR="00A9635A">
          <w:rPr>
            <w:rStyle w:val="Hyperlink"/>
            <w:rFonts w:ascii="Calibri" w:eastAsia="Calibri" w:hAnsi="Calibri" w:cs="Calibri"/>
          </w:rPr>
          <w:t>Biosim</w:t>
        </w:r>
        <w:proofErr w:type="spellEnd"/>
        <w:r w:rsidR="00A9635A">
          <w:rPr>
            <w:rStyle w:val="Hyperlink"/>
            <w:rFonts w:ascii="Calibri" w:eastAsia="Calibri" w:hAnsi="Calibri" w:cs="Calibri"/>
          </w:rPr>
          <w:t xml:space="preserve"> Exchange</w:t>
        </w:r>
      </w:hyperlink>
      <w:r w:rsidR="007D1985">
        <w:rPr>
          <w:rStyle w:val="EndnoteReference"/>
          <w:rFonts w:ascii="Calibri" w:eastAsia="Calibri" w:hAnsi="Calibri" w:cs="Calibri"/>
          <w:color w:val="0563C1" w:themeColor="hyperlink"/>
          <w:u w:val="single"/>
        </w:rPr>
        <w:endnoteReference w:id="6"/>
      </w:r>
    </w:p>
    <w:p w14:paraId="4A45441B" w14:textId="77777777" w:rsidR="00FC6E58" w:rsidRPr="00E56DEF" w:rsidRDefault="00FC6E58" w:rsidP="00DD12F2">
      <w:pPr>
        <w:pStyle w:val="ListParagraph"/>
        <w:spacing w:line="240" w:lineRule="exact"/>
        <w:rPr>
          <w:rFonts w:ascii="Calibri" w:eastAsia="Calibri" w:hAnsi="Calibri" w:cs="Calibri"/>
        </w:rPr>
      </w:pPr>
    </w:p>
    <w:p w14:paraId="02B7BC4A" w14:textId="77777777" w:rsidR="0054100D" w:rsidRDefault="00E712D8" w:rsidP="00A751CC">
      <w:pPr>
        <w:spacing w:line="240" w:lineRule="exact"/>
        <w:rPr>
          <w:rFonts w:ascii="Calibri" w:eastAsia="Calibri" w:hAnsi="Calibri" w:cs="Calibri"/>
          <w:b/>
          <w:bCs/>
        </w:rPr>
      </w:pPr>
      <w:r w:rsidRPr="00024824">
        <w:rPr>
          <w:rFonts w:ascii="Calibri" w:eastAsia="Calibri" w:hAnsi="Calibri" w:cs="Calibri"/>
          <w:b/>
          <w:bCs/>
        </w:rPr>
        <w:t xml:space="preserve">The Canadian experience: </w:t>
      </w:r>
    </w:p>
    <w:p w14:paraId="7E6AA07C" w14:textId="775889B8" w:rsidR="00DE38DF" w:rsidRDefault="00997089" w:rsidP="00A751C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Biosimilars are no</w:t>
      </w:r>
      <w:r w:rsidR="00645DD3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 ne</w:t>
      </w:r>
      <w:r w:rsidR="00645DD3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in Canada</w:t>
      </w:r>
      <w:r w:rsidR="00F22AC1"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 xml:space="preserve"> </w:t>
      </w:r>
      <w:r w:rsidR="004B5291">
        <w:rPr>
          <w:rFonts w:ascii="Calibri" w:eastAsia="Calibri" w:hAnsi="Calibri" w:cs="Calibri"/>
        </w:rPr>
        <w:t>Health Canada has approved</w:t>
      </w:r>
      <w:r w:rsidR="00AC3AFC">
        <w:rPr>
          <w:rFonts w:ascii="Calibri" w:eastAsia="Calibri" w:hAnsi="Calibri" w:cs="Calibri"/>
        </w:rPr>
        <w:t xml:space="preserve"> over 35</w:t>
      </w:r>
      <w:r w:rsidR="00AF2DD4">
        <w:rPr>
          <w:rFonts w:ascii="Calibri" w:eastAsia="Calibri" w:hAnsi="Calibri" w:cs="Calibri"/>
        </w:rPr>
        <w:t xml:space="preserve"> biosimilars</w:t>
      </w:r>
      <w:r w:rsidR="00FF74A0">
        <w:rPr>
          <w:rFonts w:ascii="Calibri" w:eastAsia="Calibri" w:hAnsi="Calibri" w:cs="Calibri"/>
        </w:rPr>
        <w:t xml:space="preserve"> </w:t>
      </w:r>
      <w:r w:rsidR="00AC3AFC">
        <w:rPr>
          <w:rFonts w:ascii="Calibri" w:eastAsia="Calibri" w:hAnsi="Calibri" w:cs="Calibri"/>
        </w:rPr>
        <w:t>since 2014</w:t>
      </w:r>
      <w:r w:rsidR="00E67CDD">
        <w:rPr>
          <w:rStyle w:val="EndnoteReference"/>
          <w:rFonts w:ascii="Calibri" w:eastAsia="Calibri" w:hAnsi="Calibri" w:cs="Calibri"/>
        </w:rPr>
        <w:endnoteReference w:id="7"/>
      </w:r>
      <w:r w:rsidR="00AC3AFC">
        <w:rPr>
          <w:rFonts w:ascii="Calibri" w:eastAsia="Calibri" w:hAnsi="Calibri" w:cs="Calibri"/>
        </w:rPr>
        <w:t>.</w:t>
      </w:r>
      <w:r w:rsidR="00600E82">
        <w:rPr>
          <w:rFonts w:ascii="Calibri" w:eastAsia="Calibri" w:hAnsi="Calibri" w:cs="Calibri"/>
        </w:rPr>
        <w:t xml:space="preserve"> </w:t>
      </w:r>
      <w:r w:rsidR="00DF2FF0">
        <w:rPr>
          <w:rFonts w:ascii="Calibri" w:eastAsia="Calibri" w:hAnsi="Calibri" w:cs="Calibri"/>
        </w:rPr>
        <w:t xml:space="preserve">Biosimilars </w:t>
      </w:r>
      <w:r w:rsidR="00C80BB8">
        <w:rPr>
          <w:rFonts w:ascii="Calibri" w:eastAsia="Calibri" w:hAnsi="Calibri" w:cs="Calibri"/>
        </w:rPr>
        <w:t xml:space="preserve">have been reimbursed by </w:t>
      </w:r>
      <w:r w:rsidR="00D40B83">
        <w:rPr>
          <w:rFonts w:ascii="Calibri" w:eastAsia="Calibri" w:hAnsi="Calibri" w:cs="Calibri"/>
        </w:rPr>
        <w:t>p</w:t>
      </w:r>
      <w:r w:rsidR="00C80BB8">
        <w:rPr>
          <w:rFonts w:ascii="Calibri" w:eastAsia="Calibri" w:hAnsi="Calibri" w:cs="Calibri"/>
        </w:rPr>
        <w:t xml:space="preserve">rivate </w:t>
      </w:r>
      <w:r w:rsidR="00D40B83">
        <w:rPr>
          <w:rFonts w:ascii="Calibri" w:eastAsia="Calibri" w:hAnsi="Calibri" w:cs="Calibri"/>
        </w:rPr>
        <w:t>i</w:t>
      </w:r>
      <w:r w:rsidR="00C80BB8">
        <w:rPr>
          <w:rFonts w:ascii="Calibri" w:eastAsia="Calibri" w:hAnsi="Calibri" w:cs="Calibri"/>
        </w:rPr>
        <w:t xml:space="preserve">nsurance providers </w:t>
      </w:r>
      <w:r w:rsidR="004A2387">
        <w:rPr>
          <w:rFonts w:ascii="Calibri" w:eastAsia="Calibri" w:hAnsi="Calibri" w:cs="Calibri"/>
        </w:rPr>
        <w:t>in Canada since 2015.</w:t>
      </w:r>
    </w:p>
    <w:p w14:paraId="6D9C6F5A" w14:textId="407BE80E" w:rsidR="005923AA" w:rsidRDefault="00524F02" w:rsidP="00A751C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Despite being up to 50% less expensive </w:t>
      </w:r>
      <w:r w:rsidR="00CB7BB0">
        <w:rPr>
          <w:rFonts w:ascii="Calibri" w:eastAsia="Calibri" w:hAnsi="Calibri" w:cs="Calibri"/>
        </w:rPr>
        <w:t>than reference biologic</w:t>
      </w:r>
      <w:r w:rsidR="00782B11">
        <w:rPr>
          <w:rFonts w:ascii="Calibri" w:eastAsia="Calibri" w:hAnsi="Calibri" w:cs="Calibri"/>
        </w:rPr>
        <w:t xml:space="preserve"> drugs</w:t>
      </w:r>
      <w:r w:rsidR="00CB7BB0">
        <w:rPr>
          <w:rFonts w:ascii="Calibri" w:eastAsia="Calibri" w:hAnsi="Calibri" w:cs="Calibri"/>
        </w:rPr>
        <w:t>,</w:t>
      </w:r>
      <w:r w:rsidR="00CF5D89">
        <w:rPr>
          <w:rFonts w:ascii="Calibri" w:eastAsia="Calibri" w:hAnsi="Calibri" w:cs="Calibri"/>
        </w:rPr>
        <w:t xml:space="preserve"> the</w:t>
      </w:r>
      <w:r w:rsidR="00CB7BB0">
        <w:rPr>
          <w:rFonts w:ascii="Calibri" w:eastAsia="Calibri" w:hAnsi="Calibri" w:cs="Calibri"/>
        </w:rPr>
        <w:t xml:space="preserve"> uptake of biosimilars used to treat </w:t>
      </w:r>
      <w:r w:rsidR="000726C6">
        <w:rPr>
          <w:rFonts w:ascii="Calibri" w:eastAsia="Calibri" w:hAnsi="Calibri" w:cs="Calibri"/>
        </w:rPr>
        <w:t>chronic diseases in Canada has remained low</w:t>
      </w:r>
      <w:r w:rsidR="008C5BDC">
        <w:rPr>
          <w:rStyle w:val="EndnoteReference"/>
          <w:rFonts w:ascii="Calibri" w:eastAsia="Calibri" w:hAnsi="Calibri" w:cs="Calibri"/>
        </w:rPr>
        <w:endnoteReference w:id="8"/>
      </w:r>
      <w:r w:rsidR="008819CC">
        <w:rPr>
          <w:rFonts w:ascii="Calibri" w:eastAsia="Calibri" w:hAnsi="Calibri" w:cs="Calibri"/>
        </w:rPr>
        <w:t xml:space="preserve">. </w:t>
      </w:r>
    </w:p>
    <w:p w14:paraId="5A059395" w14:textId="0DA405E4" w:rsidR="005923AA" w:rsidRDefault="008819CC" w:rsidP="00A751C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fully benefit from the potential of biosimilars, </w:t>
      </w:r>
      <w:r w:rsidR="00A42E32">
        <w:rPr>
          <w:rFonts w:ascii="Calibri" w:eastAsia="Calibri" w:hAnsi="Calibri" w:cs="Calibri"/>
        </w:rPr>
        <w:t>p</w:t>
      </w:r>
      <w:r w:rsidR="00FF47F5">
        <w:rPr>
          <w:rFonts w:ascii="Calibri" w:eastAsia="Calibri" w:hAnsi="Calibri" w:cs="Calibri"/>
        </w:rPr>
        <w:t>ublic drug plans in British Columbia, Alberta, New Brunswick</w:t>
      </w:r>
      <w:r w:rsidR="00C1190C">
        <w:rPr>
          <w:rFonts w:ascii="Calibri" w:eastAsia="Calibri" w:hAnsi="Calibri" w:cs="Calibri"/>
        </w:rPr>
        <w:t>,</w:t>
      </w:r>
      <w:r w:rsidR="00FF47F5">
        <w:rPr>
          <w:rFonts w:ascii="Calibri" w:eastAsia="Calibri" w:hAnsi="Calibri" w:cs="Calibri"/>
        </w:rPr>
        <w:t xml:space="preserve"> and Quebec have impl</w:t>
      </w:r>
      <w:r w:rsidR="00ED30C8">
        <w:rPr>
          <w:rFonts w:ascii="Calibri" w:eastAsia="Calibri" w:hAnsi="Calibri" w:cs="Calibri"/>
        </w:rPr>
        <w:t>emented or announced biosimilar transition policies</w:t>
      </w:r>
      <w:r w:rsidR="00D718F0">
        <w:rPr>
          <w:rFonts w:ascii="Calibri" w:eastAsia="Calibri" w:hAnsi="Calibri" w:cs="Calibri"/>
        </w:rPr>
        <w:t xml:space="preserve"> </w:t>
      </w:r>
      <w:r w:rsidR="00301203">
        <w:rPr>
          <w:rFonts w:ascii="Calibri" w:eastAsia="Calibri" w:hAnsi="Calibri" w:cs="Calibri"/>
        </w:rPr>
        <w:t>for</w:t>
      </w:r>
      <w:r w:rsidR="00D718F0">
        <w:rPr>
          <w:rFonts w:ascii="Calibri" w:eastAsia="Calibri" w:hAnsi="Calibri" w:cs="Calibri"/>
        </w:rPr>
        <w:t xml:space="preserve"> existing patients</w:t>
      </w:r>
      <w:r w:rsidR="00ED30C8">
        <w:rPr>
          <w:rFonts w:ascii="Calibri" w:eastAsia="Calibri" w:hAnsi="Calibri" w:cs="Calibri"/>
        </w:rPr>
        <w:t xml:space="preserve">.  </w:t>
      </w:r>
    </w:p>
    <w:p w14:paraId="064DFEA9" w14:textId="1FF03624" w:rsidR="0054100D" w:rsidRPr="009050E2" w:rsidRDefault="00ED30C8" w:rsidP="00A751C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Multiple </w:t>
      </w:r>
      <w:r w:rsidR="00215977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rivate </w:t>
      </w:r>
      <w:r w:rsidR="00215977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nsurance providers have also implemented </w:t>
      </w:r>
      <w:r w:rsidR="00A4566F">
        <w:rPr>
          <w:rFonts w:ascii="Calibri" w:eastAsia="Calibri" w:hAnsi="Calibri" w:cs="Calibri"/>
        </w:rPr>
        <w:t xml:space="preserve">biosimilar transition </w:t>
      </w:r>
      <w:r w:rsidR="00C1190C">
        <w:rPr>
          <w:rFonts w:ascii="Calibri" w:eastAsia="Calibri" w:hAnsi="Calibri" w:cs="Calibri"/>
        </w:rPr>
        <w:t>policies,</w:t>
      </w:r>
      <w:r w:rsidR="00312B79">
        <w:rPr>
          <w:rFonts w:ascii="Calibri" w:eastAsia="Calibri" w:hAnsi="Calibri" w:cs="Calibri"/>
        </w:rPr>
        <w:t xml:space="preserve"> </w:t>
      </w:r>
      <w:r w:rsidR="009B7077">
        <w:rPr>
          <w:rFonts w:ascii="Calibri" w:eastAsia="Calibri" w:hAnsi="Calibri" w:cs="Calibri"/>
        </w:rPr>
        <w:t>primarily</w:t>
      </w:r>
      <w:r w:rsidR="00312B79">
        <w:rPr>
          <w:rFonts w:ascii="Calibri" w:eastAsia="Calibri" w:hAnsi="Calibri" w:cs="Calibri"/>
        </w:rPr>
        <w:t xml:space="preserve"> to</w:t>
      </w:r>
      <w:r w:rsidR="0071325C">
        <w:rPr>
          <w:rFonts w:ascii="Calibri" w:eastAsia="Calibri" w:hAnsi="Calibri" w:cs="Calibri"/>
        </w:rPr>
        <w:t xml:space="preserve"> benefit from</w:t>
      </w:r>
      <w:r w:rsidR="00312B79">
        <w:rPr>
          <w:rFonts w:ascii="Calibri" w:eastAsia="Calibri" w:hAnsi="Calibri" w:cs="Calibri"/>
        </w:rPr>
        <w:t xml:space="preserve"> coordinat</w:t>
      </w:r>
      <w:r w:rsidR="00BA7544">
        <w:rPr>
          <w:rFonts w:ascii="Calibri" w:eastAsia="Calibri" w:hAnsi="Calibri" w:cs="Calibri"/>
        </w:rPr>
        <w:t>ing</w:t>
      </w:r>
      <w:r w:rsidR="003F6890">
        <w:rPr>
          <w:rFonts w:ascii="Calibri" w:eastAsia="Calibri" w:hAnsi="Calibri" w:cs="Calibri"/>
        </w:rPr>
        <w:t xml:space="preserve"> coverage</w:t>
      </w:r>
      <w:r w:rsidR="00312B79">
        <w:rPr>
          <w:rFonts w:ascii="Calibri" w:eastAsia="Calibri" w:hAnsi="Calibri" w:cs="Calibri"/>
        </w:rPr>
        <w:t xml:space="preserve"> with</w:t>
      </w:r>
      <w:r w:rsidR="00966491">
        <w:rPr>
          <w:rFonts w:ascii="Calibri" w:eastAsia="Calibri" w:hAnsi="Calibri" w:cs="Calibri"/>
        </w:rPr>
        <w:t xml:space="preserve"> </w:t>
      </w:r>
      <w:r w:rsidR="00312B79">
        <w:rPr>
          <w:rFonts w:ascii="Calibri" w:eastAsia="Calibri" w:hAnsi="Calibri" w:cs="Calibri"/>
        </w:rPr>
        <w:t>pu</w:t>
      </w:r>
      <w:r w:rsidR="009B7077">
        <w:rPr>
          <w:rFonts w:ascii="Calibri" w:eastAsia="Calibri" w:hAnsi="Calibri" w:cs="Calibri"/>
        </w:rPr>
        <w:t>blic</w:t>
      </w:r>
      <w:r w:rsidR="00301203">
        <w:rPr>
          <w:rFonts w:ascii="Calibri" w:eastAsia="Calibri" w:hAnsi="Calibri" w:cs="Calibri"/>
        </w:rPr>
        <w:t xml:space="preserve"> drug</w:t>
      </w:r>
      <w:r w:rsidR="006F032B">
        <w:rPr>
          <w:rFonts w:ascii="Calibri" w:eastAsia="Calibri" w:hAnsi="Calibri" w:cs="Calibri"/>
        </w:rPr>
        <w:t xml:space="preserve"> plan</w:t>
      </w:r>
      <w:r w:rsidR="00966491">
        <w:rPr>
          <w:rFonts w:ascii="Calibri" w:eastAsia="Calibri" w:hAnsi="Calibri" w:cs="Calibri"/>
        </w:rPr>
        <w:t xml:space="preserve"> transition</w:t>
      </w:r>
      <w:r w:rsidR="008837FA">
        <w:rPr>
          <w:rFonts w:ascii="Calibri" w:eastAsia="Calibri" w:hAnsi="Calibri" w:cs="Calibri"/>
        </w:rPr>
        <w:t xml:space="preserve"> policies</w:t>
      </w:r>
      <w:r w:rsidR="00A4566F">
        <w:rPr>
          <w:rFonts w:ascii="Calibri" w:eastAsia="Calibri" w:hAnsi="Calibri" w:cs="Calibri"/>
        </w:rPr>
        <w:t xml:space="preserve">. </w:t>
      </w:r>
      <w:r w:rsidR="003F6890">
        <w:rPr>
          <w:rFonts w:ascii="Calibri" w:eastAsia="Calibri" w:hAnsi="Calibri" w:cs="Calibri"/>
        </w:rPr>
        <w:t>Results from</w:t>
      </w:r>
      <w:r w:rsidR="006F3F97">
        <w:rPr>
          <w:rFonts w:ascii="Calibri" w:eastAsia="Calibri" w:hAnsi="Calibri" w:cs="Calibri"/>
        </w:rPr>
        <w:t xml:space="preserve"> these Canadian policies demonstrat</w:t>
      </w:r>
      <w:r w:rsidR="00683D8F">
        <w:rPr>
          <w:rFonts w:ascii="Calibri" w:eastAsia="Calibri" w:hAnsi="Calibri" w:cs="Calibri"/>
        </w:rPr>
        <w:t>e</w:t>
      </w:r>
      <w:r w:rsidR="00B4576B">
        <w:rPr>
          <w:rFonts w:ascii="Calibri" w:eastAsia="Calibri" w:hAnsi="Calibri" w:cs="Calibri"/>
        </w:rPr>
        <w:t xml:space="preserve"> a</w:t>
      </w:r>
      <w:r w:rsidR="00683D8F">
        <w:rPr>
          <w:rFonts w:ascii="Calibri" w:eastAsia="Calibri" w:hAnsi="Calibri" w:cs="Calibri"/>
        </w:rPr>
        <w:t xml:space="preserve"> high rate of transitioning to a biosimilar</w:t>
      </w:r>
      <w:r w:rsidR="00B4576B">
        <w:rPr>
          <w:rFonts w:ascii="Calibri" w:eastAsia="Calibri" w:hAnsi="Calibri" w:cs="Calibri"/>
        </w:rPr>
        <w:t xml:space="preserve"> while</w:t>
      </w:r>
      <w:r w:rsidR="004941B9">
        <w:rPr>
          <w:rFonts w:ascii="Calibri" w:eastAsia="Calibri" w:hAnsi="Calibri" w:cs="Calibri"/>
        </w:rPr>
        <w:t xml:space="preserve"> maintain</w:t>
      </w:r>
      <w:r w:rsidR="009267B1">
        <w:rPr>
          <w:rFonts w:ascii="Calibri" w:eastAsia="Calibri" w:hAnsi="Calibri" w:cs="Calibri"/>
        </w:rPr>
        <w:t>ing</w:t>
      </w:r>
      <w:r w:rsidR="00683D8F">
        <w:rPr>
          <w:rFonts w:ascii="Calibri" w:eastAsia="Calibri" w:hAnsi="Calibri" w:cs="Calibri"/>
        </w:rPr>
        <w:t xml:space="preserve"> </w:t>
      </w:r>
      <w:r w:rsidR="00E72E55">
        <w:rPr>
          <w:rFonts w:ascii="Calibri" w:eastAsia="Calibri" w:hAnsi="Calibri" w:cs="Calibri"/>
        </w:rPr>
        <w:t xml:space="preserve">patient </w:t>
      </w:r>
      <w:r w:rsidR="007B6AF7">
        <w:rPr>
          <w:rFonts w:ascii="Calibri" w:eastAsia="Calibri" w:hAnsi="Calibri" w:cs="Calibri"/>
        </w:rPr>
        <w:t>outcomes,</w:t>
      </w:r>
      <w:r w:rsidR="00ED797C">
        <w:rPr>
          <w:rFonts w:ascii="Calibri" w:eastAsia="Calibri" w:hAnsi="Calibri" w:cs="Calibri"/>
        </w:rPr>
        <w:t xml:space="preserve"> no increase in healthcare </w:t>
      </w:r>
      <w:r w:rsidR="003439FA">
        <w:rPr>
          <w:rFonts w:ascii="Calibri" w:eastAsia="Calibri" w:hAnsi="Calibri" w:cs="Calibri"/>
        </w:rPr>
        <w:t xml:space="preserve">resource utilization </w:t>
      </w:r>
      <w:r w:rsidR="00E72E55">
        <w:rPr>
          <w:rFonts w:ascii="Calibri" w:eastAsia="Calibri" w:hAnsi="Calibri" w:cs="Calibri"/>
        </w:rPr>
        <w:t>and significant cost savings.</w:t>
      </w:r>
    </w:p>
    <w:p w14:paraId="461A4C98" w14:textId="3FDEC797" w:rsidR="00424B3E" w:rsidRPr="00782149" w:rsidRDefault="009A3026" w:rsidP="00F7234B">
      <w:pPr>
        <w:pStyle w:val="ListParagraph"/>
        <w:numPr>
          <w:ilvl w:val="0"/>
          <w:numId w:val="8"/>
        </w:numPr>
        <w:spacing w:line="240" w:lineRule="exact"/>
        <w:rPr>
          <w:rFonts w:ascii="Calibri" w:eastAsia="Calibri" w:hAnsi="Calibri" w:cs="Calibri"/>
          <w:b/>
          <w:bCs/>
        </w:rPr>
      </w:pPr>
      <w:hyperlink r:id="rId16" w:history="1">
        <w:r w:rsidR="00097C19">
          <w:rPr>
            <w:rStyle w:val="Hyperlink"/>
          </w:rPr>
          <w:t>British Columbia Biosimilars Initiative Data</w:t>
        </w:r>
      </w:hyperlink>
      <w:r w:rsidR="00B67D43">
        <w:rPr>
          <w:rStyle w:val="EndnoteReference"/>
          <w:color w:val="0563C1" w:themeColor="hyperlink"/>
          <w:u w:val="single"/>
        </w:rPr>
        <w:endnoteReference w:id="9"/>
      </w:r>
    </w:p>
    <w:p w14:paraId="538AA4CA" w14:textId="215E0E2A" w:rsidR="00420869" w:rsidRPr="00782149" w:rsidRDefault="009A3026" w:rsidP="00F7234B">
      <w:pPr>
        <w:pStyle w:val="ListParagraph"/>
        <w:numPr>
          <w:ilvl w:val="0"/>
          <w:numId w:val="8"/>
        </w:numPr>
        <w:spacing w:line="240" w:lineRule="exact"/>
        <w:rPr>
          <w:rFonts w:ascii="Calibri" w:eastAsia="Calibri" w:hAnsi="Calibri" w:cs="Calibri"/>
          <w:b/>
          <w:bCs/>
        </w:rPr>
      </w:pPr>
      <w:hyperlink r:id="rId17" w:history="1">
        <w:r w:rsidR="00424B3E">
          <w:rPr>
            <w:rStyle w:val="Hyperlink"/>
          </w:rPr>
          <w:t>British Columbia Biosimilars Initiative health services utilization</w:t>
        </w:r>
      </w:hyperlink>
      <w:r w:rsidR="00957598">
        <w:rPr>
          <w:rStyle w:val="EndnoteReference"/>
          <w:color w:val="0563C1" w:themeColor="hyperlink"/>
          <w:u w:val="single"/>
        </w:rPr>
        <w:endnoteReference w:id="10"/>
      </w:r>
    </w:p>
    <w:p w14:paraId="27D58AFA" w14:textId="75BC7DC1" w:rsidR="0054100D" w:rsidRPr="00782149" w:rsidRDefault="009A3026" w:rsidP="00F7234B">
      <w:pPr>
        <w:pStyle w:val="ListParagraph"/>
        <w:numPr>
          <w:ilvl w:val="0"/>
          <w:numId w:val="8"/>
        </w:numPr>
        <w:spacing w:line="240" w:lineRule="exact"/>
        <w:rPr>
          <w:rFonts w:ascii="Calibri" w:eastAsia="Calibri" w:hAnsi="Calibri" w:cs="Calibri"/>
          <w:b/>
          <w:bCs/>
        </w:rPr>
      </w:pPr>
      <w:hyperlink r:id="rId18" w:history="1">
        <w:r w:rsidR="00097C19">
          <w:rPr>
            <w:rStyle w:val="Hyperlink"/>
          </w:rPr>
          <w:t>Albert Biosimilars Initiative Data</w:t>
        </w:r>
      </w:hyperlink>
      <w:r w:rsidR="00177234">
        <w:rPr>
          <w:rStyle w:val="EndnoteReference"/>
          <w:color w:val="0563C1" w:themeColor="hyperlink"/>
          <w:u w:val="single"/>
        </w:rPr>
        <w:endnoteReference w:id="11"/>
      </w:r>
    </w:p>
    <w:p w14:paraId="3B64BA43" w14:textId="31470264" w:rsidR="00F9386E" w:rsidRPr="00782149" w:rsidRDefault="009A3026" w:rsidP="00F7234B">
      <w:pPr>
        <w:pStyle w:val="ListParagraph"/>
        <w:numPr>
          <w:ilvl w:val="0"/>
          <w:numId w:val="8"/>
        </w:numPr>
        <w:spacing w:line="240" w:lineRule="exact"/>
        <w:rPr>
          <w:rFonts w:ascii="Calibri" w:eastAsia="Calibri" w:hAnsi="Calibri" w:cs="Calibri"/>
          <w:b/>
          <w:bCs/>
        </w:rPr>
      </w:pPr>
      <w:hyperlink r:id="rId19" w:history="1">
        <w:r w:rsidR="007B0008">
          <w:rPr>
            <w:rStyle w:val="Hyperlink"/>
          </w:rPr>
          <w:t>Pacific Blue Cross Biosimilar Transition Policy</w:t>
        </w:r>
      </w:hyperlink>
      <w:bookmarkStart w:id="1" w:name="_Ref74571408"/>
      <w:r w:rsidR="00E55B48">
        <w:rPr>
          <w:rStyle w:val="EndnoteReference"/>
          <w:color w:val="0563C1" w:themeColor="hyperlink"/>
          <w:u w:val="single"/>
        </w:rPr>
        <w:endnoteReference w:id="12"/>
      </w:r>
      <w:bookmarkEnd w:id="1"/>
    </w:p>
    <w:p w14:paraId="5B40BCA5" w14:textId="79F824FE" w:rsidR="00782149" w:rsidRPr="00782149" w:rsidRDefault="009A3026" w:rsidP="00782149">
      <w:pPr>
        <w:pStyle w:val="ListParagraph"/>
        <w:numPr>
          <w:ilvl w:val="0"/>
          <w:numId w:val="8"/>
        </w:numPr>
        <w:spacing w:line="240" w:lineRule="exact"/>
        <w:rPr>
          <w:rFonts w:ascii="Calibri" w:eastAsia="Calibri" w:hAnsi="Calibri" w:cs="Calibri"/>
          <w:b/>
          <w:bCs/>
        </w:rPr>
      </w:pPr>
      <w:hyperlink r:id="rId20" w:history="1">
        <w:r w:rsidR="00FF35E3">
          <w:rPr>
            <w:rStyle w:val="Hyperlink"/>
          </w:rPr>
          <w:t>Green Shield Biosimilar Transition Policy</w:t>
        </w:r>
      </w:hyperlink>
      <w:bookmarkStart w:id="2" w:name="_Ref74571363"/>
      <w:r w:rsidR="00610B7F">
        <w:rPr>
          <w:rStyle w:val="EndnoteReference"/>
          <w:color w:val="0563C1" w:themeColor="hyperlink"/>
          <w:u w:val="single"/>
        </w:rPr>
        <w:endnoteReference w:id="13"/>
      </w:r>
      <w:bookmarkEnd w:id="2"/>
    </w:p>
    <w:p w14:paraId="695D4DE2" w14:textId="77777777" w:rsidR="00177C42" w:rsidRDefault="00177C42" w:rsidP="00A751CC">
      <w:pPr>
        <w:spacing w:line="240" w:lineRule="exact"/>
        <w:rPr>
          <w:rFonts w:ascii="Calibri" w:eastAsia="Calibri" w:hAnsi="Calibri" w:cs="Calibri"/>
          <w:b/>
          <w:bCs/>
        </w:rPr>
      </w:pPr>
    </w:p>
    <w:p w14:paraId="09D06DC4" w14:textId="537C79E6" w:rsidR="00A42E32" w:rsidRDefault="00E712D8" w:rsidP="00A751CC">
      <w:pPr>
        <w:spacing w:line="240" w:lineRule="exact"/>
        <w:rPr>
          <w:rFonts w:ascii="Calibri" w:eastAsia="Calibri" w:hAnsi="Calibri" w:cs="Calibri"/>
          <w:b/>
          <w:bCs/>
        </w:rPr>
      </w:pPr>
      <w:r w:rsidRPr="00024824">
        <w:rPr>
          <w:rFonts w:ascii="Calibri" w:eastAsia="Calibri" w:hAnsi="Calibri" w:cs="Calibri"/>
          <w:b/>
          <w:bCs/>
        </w:rPr>
        <w:t>Financial considerations</w:t>
      </w:r>
      <w:r w:rsidR="0092454A">
        <w:rPr>
          <w:rFonts w:ascii="Calibri" w:eastAsia="Calibri" w:hAnsi="Calibri" w:cs="Calibri"/>
          <w:b/>
          <w:bCs/>
        </w:rPr>
        <w:t>:</w:t>
      </w:r>
    </w:p>
    <w:p w14:paraId="775F9098" w14:textId="18FAD992" w:rsidR="00E712D8" w:rsidRDefault="00065BCF" w:rsidP="00A751CC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Biosimilars are essential to</w:t>
      </w:r>
      <w:r w:rsidR="000A7248">
        <w:rPr>
          <w:rFonts w:ascii="Calibri" w:eastAsia="Calibri" w:hAnsi="Calibri" w:cs="Calibri"/>
        </w:rPr>
        <w:t xml:space="preserve"> drug plan sustainab</w:t>
      </w:r>
      <w:r w:rsidR="004A736A">
        <w:rPr>
          <w:rFonts w:ascii="Calibri" w:eastAsia="Calibri" w:hAnsi="Calibri" w:cs="Calibri"/>
        </w:rPr>
        <w:t>ility</w:t>
      </w:r>
      <w:r w:rsidR="00054E3E">
        <w:rPr>
          <w:rFonts w:ascii="Calibri" w:eastAsia="Calibri" w:hAnsi="Calibri" w:cs="Calibri"/>
        </w:rPr>
        <w:t xml:space="preserve"> as th</w:t>
      </w:r>
      <w:r w:rsidR="00C8020A">
        <w:rPr>
          <w:rFonts w:ascii="Calibri" w:eastAsia="Calibri" w:hAnsi="Calibri" w:cs="Calibri"/>
        </w:rPr>
        <w:t xml:space="preserve">ey </w:t>
      </w:r>
      <w:r w:rsidR="00177C42">
        <w:rPr>
          <w:rFonts w:ascii="Calibri" w:eastAsia="Calibri" w:hAnsi="Calibri" w:cs="Calibri"/>
        </w:rPr>
        <w:t>are safe</w:t>
      </w:r>
      <w:r w:rsidR="00054E3E">
        <w:rPr>
          <w:rFonts w:ascii="Calibri" w:eastAsia="Calibri" w:hAnsi="Calibri" w:cs="Calibri"/>
        </w:rPr>
        <w:t>, effective options</w:t>
      </w:r>
      <w:r w:rsidR="00C8020A">
        <w:rPr>
          <w:rFonts w:ascii="Calibri" w:eastAsia="Calibri" w:hAnsi="Calibri" w:cs="Calibri"/>
        </w:rPr>
        <w:t xml:space="preserve"> that </w:t>
      </w:r>
      <w:r w:rsidR="00A725A3">
        <w:rPr>
          <w:rFonts w:ascii="Calibri" w:eastAsia="Calibri" w:hAnsi="Calibri" w:cs="Calibri"/>
        </w:rPr>
        <w:t>have the potential to provide significant savings</w:t>
      </w:r>
      <w:r w:rsidR="00054E3E">
        <w:rPr>
          <w:rFonts w:ascii="Calibri" w:eastAsia="Calibri" w:hAnsi="Calibri" w:cs="Calibri"/>
        </w:rPr>
        <w:t xml:space="preserve"> to</w:t>
      </w:r>
      <w:r w:rsidR="00B50016">
        <w:rPr>
          <w:rFonts w:ascii="Calibri" w:eastAsia="Calibri" w:hAnsi="Calibri" w:cs="Calibri"/>
        </w:rPr>
        <w:t xml:space="preserve"> plan sponsors and members.</w:t>
      </w:r>
      <w:r w:rsidR="002B48A0">
        <w:rPr>
          <w:rFonts w:ascii="Calibri" w:eastAsia="Calibri" w:hAnsi="Calibri" w:cs="Calibri"/>
        </w:rPr>
        <w:t xml:space="preserve">  It is estimated that biosimilars could save Canadian</w:t>
      </w:r>
      <w:r w:rsidR="007E151D">
        <w:rPr>
          <w:rFonts w:ascii="Calibri" w:eastAsia="Calibri" w:hAnsi="Calibri" w:cs="Calibri"/>
        </w:rPr>
        <w:t xml:space="preserve"> public and private</w:t>
      </w:r>
      <w:r w:rsidR="002B48A0">
        <w:rPr>
          <w:rFonts w:ascii="Calibri" w:eastAsia="Calibri" w:hAnsi="Calibri" w:cs="Calibri"/>
        </w:rPr>
        <w:t xml:space="preserve"> </w:t>
      </w:r>
      <w:r w:rsidR="00C54702">
        <w:rPr>
          <w:rFonts w:ascii="Calibri" w:eastAsia="Calibri" w:hAnsi="Calibri" w:cs="Calibri"/>
        </w:rPr>
        <w:t>drug plans</w:t>
      </w:r>
      <w:r w:rsidR="002B48A0">
        <w:rPr>
          <w:rFonts w:ascii="Calibri" w:eastAsia="Calibri" w:hAnsi="Calibri" w:cs="Calibri"/>
        </w:rPr>
        <w:t xml:space="preserve"> up to $1.8 billion per year</w:t>
      </w:r>
      <w:r w:rsidR="00391067">
        <w:rPr>
          <w:rStyle w:val="EndnoteReference"/>
          <w:rFonts w:ascii="Calibri" w:eastAsia="Calibri" w:hAnsi="Calibri" w:cs="Calibri"/>
        </w:rPr>
        <w:endnoteReference w:id="14"/>
      </w:r>
      <w:r w:rsidR="007E151D">
        <w:rPr>
          <w:rFonts w:ascii="Calibri" w:eastAsia="Calibri" w:hAnsi="Calibri" w:cs="Calibri"/>
        </w:rPr>
        <w:t>, a number that will increase in the future as more</w:t>
      </w:r>
      <w:r w:rsidR="00B6754B">
        <w:rPr>
          <w:rFonts w:ascii="Calibri" w:eastAsia="Calibri" w:hAnsi="Calibri" w:cs="Calibri"/>
        </w:rPr>
        <w:t xml:space="preserve"> bios</w:t>
      </w:r>
      <w:r w:rsidR="00933745">
        <w:rPr>
          <w:rFonts w:ascii="Calibri" w:eastAsia="Calibri" w:hAnsi="Calibri" w:cs="Calibri"/>
        </w:rPr>
        <w:t>imilars are approved in Canada.</w:t>
      </w:r>
      <w:r w:rsidR="00177C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The</w:t>
      </w:r>
      <w:r w:rsidR="002B48A0"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</w:rPr>
        <w:t xml:space="preserve"> savings can</w:t>
      </w:r>
      <w:r w:rsidR="0005473E">
        <w:rPr>
          <w:rFonts w:ascii="Calibri" w:eastAsia="Calibri" w:hAnsi="Calibri" w:cs="Calibri"/>
        </w:rPr>
        <w:t xml:space="preserve"> help</w:t>
      </w:r>
      <w:r w:rsidR="00A14618">
        <w:rPr>
          <w:rFonts w:ascii="Calibri" w:eastAsia="Calibri" w:hAnsi="Calibri" w:cs="Calibri"/>
        </w:rPr>
        <w:t xml:space="preserve"> ensure</w:t>
      </w:r>
      <w:r w:rsidR="001C2ECF">
        <w:rPr>
          <w:rFonts w:ascii="Calibri" w:eastAsia="Calibri" w:hAnsi="Calibri" w:cs="Calibri"/>
        </w:rPr>
        <w:t xml:space="preserve"> plan members</w:t>
      </w:r>
      <w:r w:rsidR="00A14618">
        <w:rPr>
          <w:rFonts w:ascii="Calibri" w:eastAsia="Calibri" w:hAnsi="Calibri" w:cs="Calibri"/>
        </w:rPr>
        <w:t xml:space="preserve"> have timely access to </w:t>
      </w:r>
      <w:r w:rsidR="00C54702">
        <w:rPr>
          <w:rFonts w:ascii="Calibri" w:eastAsia="Calibri" w:hAnsi="Calibri" w:cs="Calibri"/>
        </w:rPr>
        <w:t>new, innovative</w:t>
      </w:r>
      <w:r w:rsidR="00A14618">
        <w:rPr>
          <w:rFonts w:ascii="Calibri" w:eastAsia="Calibri" w:hAnsi="Calibri" w:cs="Calibri"/>
        </w:rPr>
        <w:t xml:space="preserve"> medicines or to improve other area</w:t>
      </w:r>
      <w:r w:rsidR="00F00A08">
        <w:rPr>
          <w:rFonts w:ascii="Calibri" w:eastAsia="Calibri" w:hAnsi="Calibri" w:cs="Calibri"/>
        </w:rPr>
        <w:t>s</w:t>
      </w:r>
      <w:r w:rsidR="00A14618">
        <w:rPr>
          <w:rFonts w:ascii="Calibri" w:eastAsia="Calibri" w:hAnsi="Calibri" w:cs="Calibri"/>
        </w:rPr>
        <w:t xml:space="preserve"> of</w:t>
      </w:r>
      <w:r w:rsidR="00D10311">
        <w:rPr>
          <w:rFonts w:ascii="Calibri" w:eastAsia="Calibri" w:hAnsi="Calibri" w:cs="Calibri"/>
        </w:rPr>
        <w:t xml:space="preserve"> plan member health care</w:t>
      </w:r>
      <w:r>
        <w:rPr>
          <w:rFonts w:ascii="Calibri" w:eastAsia="Calibri" w:hAnsi="Calibri" w:cs="Calibri"/>
        </w:rPr>
        <w:t xml:space="preserve">. </w:t>
      </w:r>
      <w:r w:rsidR="009E63ED">
        <w:rPr>
          <w:rFonts w:ascii="Calibri" w:eastAsia="Calibri" w:hAnsi="Calibri" w:cs="Calibri"/>
        </w:rPr>
        <w:t>It will become increasingly important that private</w:t>
      </w:r>
      <w:r w:rsidR="00145025">
        <w:rPr>
          <w:rFonts w:ascii="Calibri" w:eastAsia="Calibri" w:hAnsi="Calibri" w:cs="Calibri"/>
        </w:rPr>
        <w:t xml:space="preserve"> plans</w:t>
      </w:r>
      <w:r w:rsidR="009E63ED">
        <w:rPr>
          <w:rFonts w:ascii="Calibri" w:eastAsia="Calibri" w:hAnsi="Calibri" w:cs="Calibri"/>
        </w:rPr>
        <w:t xml:space="preserve"> </w:t>
      </w:r>
      <w:r w:rsidR="000B697B">
        <w:rPr>
          <w:rFonts w:ascii="Calibri" w:eastAsia="Calibri" w:hAnsi="Calibri" w:cs="Calibri"/>
        </w:rPr>
        <w:t xml:space="preserve">  coordinate coverage </w:t>
      </w:r>
      <w:r w:rsidR="00CA5C13">
        <w:rPr>
          <w:rFonts w:ascii="Calibri" w:eastAsia="Calibri" w:hAnsi="Calibri" w:cs="Calibri"/>
        </w:rPr>
        <w:t>policies</w:t>
      </w:r>
      <w:r w:rsidR="00D77FB6">
        <w:rPr>
          <w:rFonts w:ascii="Calibri" w:eastAsia="Calibri" w:hAnsi="Calibri" w:cs="Calibri"/>
        </w:rPr>
        <w:t xml:space="preserve"> with public drug plans</w:t>
      </w:r>
      <w:r w:rsidR="00CA5C13">
        <w:rPr>
          <w:rFonts w:ascii="Calibri" w:eastAsia="Calibri" w:hAnsi="Calibri" w:cs="Calibri"/>
        </w:rPr>
        <w:t xml:space="preserve"> to </w:t>
      </w:r>
      <w:r w:rsidR="000B697B">
        <w:rPr>
          <w:rFonts w:ascii="Calibri" w:eastAsia="Calibri" w:hAnsi="Calibri" w:cs="Calibri"/>
        </w:rPr>
        <w:t>manage</w:t>
      </w:r>
      <w:r w:rsidR="00CA5C13">
        <w:rPr>
          <w:rFonts w:ascii="Calibri" w:eastAsia="Calibri" w:hAnsi="Calibri" w:cs="Calibri"/>
        </w:rPr>
        <w:t xml:space="preserve"> </w:t>
      </w:r>
      <w:r w:rsidR="005E561B">
        <w:rPr>
          <w:rFonts w:ascii="Calibri" w:eastAsia="Calibri" w:hAnsi="Calibri" w:cs="Calibri"/>
        </w:rPr>
        <w:t xml:space="preserve">their proportion </w:t>
      </w:r>
      <w:r w:rsidR="00D94C47">
        <w:rPr>
          <w:rFonts w:ascii="Calibri" w:eastAsia="Calibri" w:hAnsi="Calibri" w:cs="Calibri"/>
        </w:rPr>
        <w:t>of plan</w:t>
      </w:r>
      <w:r w:rsidR="005E561B">
        <w:rPr>
          <w:rFonts w:ascii="Calibri" w:eastAsia="Calibri" w:hAnsi="Calibri" w:cs="Calibri"/>
        </w:rPr>
        <w:t xml:space="preserve"> member cost</w:t>
      </w:r>
      <w:r w:rsidR="005F1364">
        <w:rPr>
          <w:rFonts w:ascii="Calibri" w:eastAsia="Calibri" w:hAnsi="Calibri" w:cs="Calibri"/>
        </w:rPr>
        <w:t>s</w:t>
      </w:r>
      <w:r w:rsidR="005E561B">
        <w:rPr>
          <w:rFonts w:ascii="Calibri" w:eastAsia="Calibri" w:hAnsi="Calibri" w:cs="Calibri"/>
        </w:rPr>
        <w:t xml:space="preserve"> for biologics </w:t>
      </w:r>
      <w:r w:rsidR="005E459A">
        <w:rPr>
          <w:rFonts w:ascii="Calibri" w:eastAsia="Calibri" w:hAnsi="Calibri" w:cs="Calibri"/>
        </w:rPr>
        <w:t>when</w:t>
      </w:r>
      <w:r w:rsidR="00645CF6">
        <w:rPr>
          <w:rFonts w:ascii="Calibri" w:eastAsia="Calibri" w:hAnsi="Calibri" w:cs="Calibri"/>
        </w:rPr>
        <w:t xml:space="preserve"> </w:t>
      </w:r>
      <w:r w:rsidR="005E561B">
        <w:rPr>
          <w:rFonts w:ascii="Calibri" w:eastAsia="Calibri" w:hAnsi="Calibri" w:cs="Calibri"/>
        </w:rPr>
        <w:t>biosimilars</w:t>
      </w:r>
      <w:r w:rsidR="00645CF6">
        <w:rPr>
          <w:rFonts w:ascii="Calibri" w:eastAsia="Calibri" w:hAnsi="Calibri" w:cs="Calibri"/>
        </w:rPr>
        <w:t xml:space="preserve"> option</w:t>
      </w:r>
      <w:r w:rsidR="005E459A">
        <w:rPr>
          <w:rFonts w:ascii="Calibri" w:eastAsia="Calibri" w:hAnsi="Calibri" w:cs="Calibri"/>
        </w:rPr>
        <w:t>s are</w:t>
      </w:r>
      <w:r w:rsidR="00145025">
        <w:rPr>
          <w:rFonts w:ascii="Calibri" w:eastAsia="Calibri" w:hAnsi="Calibri" w:cs="Calibri"/>
        </w:rPr>
        <w:t xml:space="preserve"> available</w:t>
      </w:r>
      <w:r w:rsidR="005E561B">
        <w:rPr>
          <w:rFonts w:ascii="Calibri" w:eastAsia="Calibri" w:hAnsi="Calibri" w:cs="Calibri"/>
        </w:rPr>
        <w:t xml:space="preserve">. </w:t>
      </w:r>
      <w:r w:rsidR="000B697B">
        <w:rPr>
          <w:rFonts w:ascii="Calibri" w:eastAsia="Calibri" w:hAnsi="Calibri" w:cs="Calibri"/>
        </w:rPr>
        <w:t xml:space="preserve"> </w:t>
      </w:r>
    </w:p>
    <w:p w14:paraId="407094D1" w14:textId="0F2430DB" w:rsidR="00844F35" w:rsidRDefault="009A3026" w:rsidP="00844F35">
      <w:pPr>
        <w:pStyle w:val="ListParagraph"/>
        <w:numPr>
          <w:ilvl w:val="0"/>
          <w:numId w:val="7"/>
        </w:numPr>
        <w:spacing w:line="240" w:lineRule="exact"/>
        <w:rPr>
          <w:rFonts w:ascii="Calibri" w:eastAsia="Calibri" w:hAnsi="Calibri" w:cs="Calibri"/>
        </w:rPr>
      </w:pPr>
      <w:hyperlink r:id="rId21" w:history="1">
        <w:r w:rsidR="00FF35E3">
          <w:rPr>
            <w:rStyle w:val="Hyperlink"/>
          </w:rPr>
          <w:t xml:space="preserve">Green Shield Biosimilar Transition policy saved $8,500 per plan member </w:t>
        </w:r>
        <w:proofErr w:type="spellStart"/>
        <w:r w:rsidR="00FF35E3">
          <w:rPr>
            <w:rStyle w:val="Hyperlink"/>
          </w:rPr>
          <w:t>annually</w:t>
        </w:r>
      </w:hyperlink>
      <w:r w:rsidR="00144BB4" w:rsidRPr="00144BB4">
        <w:rPr>
          <w:rStyle w:val="Hyperlink"/>
          <w:vertAlign w:val="superscript"/>
        </w:rPr>
        <w:fldChar w:fldCharType="begin"/>
      </w:r>
      <w:r w:rsidR="00144BB4" w:rsidRPr="00144BB4">
        <w:rPr>
          <w:rStyle w:val="Hyperlink"/>
          <w:vertAlign w:val="superscript"/>
        </w:rPr>
        <w:instrText xml:space="preserve"> NOTEREF _Ref74571363 \h </w:instrText>
      </w:r>
      <w:r w:rsidR="00144BB4">
        <w:rPr>
          <w:rStyle w:val="Hyperlink"/>
          <w:vertAlign w:val="superscript"/>
        </w:rPr>
        <w:instrText xml:space="preserve"> \* MERGEFORMAT </w:instrText>
      </w:r>
      <w:r w:rsidR="00144BB4" w:rsidRPr="00144BB4">
        <w:rPr>
          <w:rStyle w:val="Hyperlink"/>
          <w:vertAlign w:val="superscript"/>
        </w:rPr>
      </w:r>
      <w:r w:rsidR="00144BB4" w:rsidRPr="00144BB4">
        <w:rPr>
          <w:rStyle w:val="Hyperlink"/>
          <w:vertAlign w:val="superscript"/>
        </w:rPr>
        <w:fldChar w:fldCharType="separate"/>
      </w:r>
      <w:r w:rsidR="00144BB4" w:rsidRPr="00144BB4">
        <w:rPr>
          <w:rStyle w:val="Hyperlink"/>
          <w:vertAlign w:val="superscript"/>
        </w:rPr>
        <w:t>xii</w:t>
      </w:r>
      <w:proofErr w:type="spellEnd"/>
      <w:r w:rsidR="00144BB4" w:rsidRPr="00144BB4">
        <w:rPr>
          <w:rStyle w:val="Hyperlink"/>
          <w:vertAlign w:val="superscript"/>
        </w:rPr>
        <w:fldChar w:fldCharType="end"/>
      </w:r>
      <w:r w:rsidR="00E86314" w:rsidRPr="00144BB4">
        <w:rPr>
          <w:vertAlign w:val="superscript"/>
        </w:rPr>
        <w:t xml:space="preserve"> </w:t>
      </w:r>
    </w:p>
    <w:p w14:paraId="06B18427" w14:textId="0FAE2EC3" w:rsidR="00B9681D" w:rsidRPr="00B9681D" w:rsidRDefault="009A3026" w:rsidP="00595153">
      <w:pPr>
        <w:pStyle w:val="ListParagraph"/>
        <w:numPr>
          <w:ilvl w:val="0"/>
          <w:numId w:val="7"/>
        </w:numPr>
        <w:spacing w:line="240" w:lineRule="exact"/>
        <w:rPr>
          <w:rFonts w:ascii="Calibri" w:eastAsia="Calibri" w:hAnsi="Calibri" w:cs="Calibri"/>
        </w:rPr>
      </w:pPr>
      <w:hyperlink r:id="rId22" w:history="1">
        <w:r w:rsidR="0047035B">
          <w:rPr>
            <w:rStyle w:val="Hyperlink"/>
          </w:rPr>
          <w:t xml:space="preserve">Pacific Blue Cross saved $22 Million for plan sponsors and members with their biosimilar transition </w:t>
        </w:r>
        <w:proofErr w:type="spellStart"/>
        <w:r w:rsidR="0047035B">
          <w:rPr>
            <w:rStyle w:val="Hyperlink"/>
          </w:rPr>
          <w:t>policy</w:t>
        </w:r>
      </w:hyperlink>
      <w:r w:rsidR="00A66A77">
        <w:rPr>
          <w:rStyle w:val="Hyperlink"/>
        </w:rPr>
        <w:fldChar w:fldCharType="begin"/>
      </w:r>
      <w:r w:rsidR="00A66A77">
        <w:rPr>
          <w:rStyle w:val="Hyperlink"/>
        </w:rPr>
        <w:instrText xml:space="preserve"> NOTEREF _Ref74571408 \h  \* MERGEFORMAT </w:instrText>
      </w:r>
      <w:r w:rsidR="00A66A77">
        <w:rPr>
          <w:rStyle w:val="Hyperlink"/>
        </w:rPr>
      </w:r>
      <w:r w:rsidR="00A66A77">
        <w:rPr>
          <w:rStyle w:val="Hyperlink"/>
        </w:rPr>
        <w:fldChar w:fldCharType="separate"/>
      </w:r>
      <w:r w:rsidR="00A66A77" w:rsidRPr="00A66A77">
        <w:rPr>
          <w:rStyle w:val="Hyperlink"/>
          <w:vertAlign w:val="superscript"/>
        </w:rPr>
        <w:t>xi</w:t>
      </w:r>
      <w:proofErr w:type="spellEnd"/>
      <w:r w:rsidR="00A66A77">
        <w:rPr>
          <w:rStyle w:val="Hyperlink"/>
        </w:rPr>
        <w:fldChar w:fldCharType="end"/>
      </w:r>
      <w:r w:rsidR="001C2604">
        <w:t xml:space="preserve"> </w:t>
      </w:r>
    </w:p>
    <w:p w14:paraId="79431209" w14:textId="77F538F2" w:rsidR="00F23A99" w:rsidRPr="0080710A" w:rsidRDefault="009A3026" w:rsidP="00595153">
      <w:pPr>
        <w:pStyle w:val="ListParagraph"/>
        <w:numPr>
          <w:ilvl w:val="0"/>
          <w:numId w:val="7"/>
        </w:numPr>
        <w:spacing w:line="240" w:lineRule="exact"/>
        <w:rPr>
          <w:rFonts w:ascii="Calibri" w:eastAsia="Calibri" w:hAnsi="Calibri" w:cs="Calibri"/>
        </w:rPr>
      </w:pPr>
      <w:hyperlink r:id="rId23" w:history="1">
        <w:r w:rsidR="00A31AEB">
          <w:rPr>
            <w:rStyle w:val="Hyperlink"/>
          </w:rPr>
          <w:t>Equitable Life:  Risk of Not Coordinating with Alberta Public Transition Policy</w:t>
        </w:r>
        <w:r w:rsidR="00BB4D6B">
          <w:rPr>
            <w:rStyle w:val="EndnoteReference"/>
            <w:color w:val="0563C1" w:themeColor="hyperlink"/>
            <w:u w:val="single"/>
          </w:rPr>
          <w:endnoteReference w:id="15"/>
        </w:r>
        <w:r w:rsidR="00A31AEB">
          <w:rPr>
            <w:rStyle w:val="Hyperlink"/>
          </w:rPr>
          <w:t xml:space="preserve"> </w:t>
        </w:r>
      </w:hyperlink>
      <w:r w:rsidR="00884B24">
        <w:t xml:space="preserve"> </w:t>
      </w:r>
    </w:p>
    <w:p w14:paraId="3B0539BF" w14:textId="2E2FC270" w:rsidR="2EB43415" w:rsidRPr="00595153" w:rsidRDefault="009E030B" w:rsidP="00595153">
      <w:pPr>
        <w:spacing w:line="240" w:lineRule="exact"/>
        <w:rPr>
          <w:rFonts w:ascii="Calibri" w:eastAsia="Calibri" w:hAnsi="Calibri" w:cs="Calibri"/>
          <w:b/>
          <w:bCs/>
          <w:u w:val="single"/>
        </w:rPr>
      </w:pPr>
      <w:r w:rsidRPr="00595153">
        <w:rPr>
          <w:rFonts w:ascii="Calibri" w:eastAsia="Calibri" w:hAnsi="Calibri" w:cs="Calibri"/>
          <w:b/>
          <w:bCs/>
          <w:u w:val="single"/>
        </w:rPr>
        <w:lastRenderedPageBreak/>
        <w:t>P</w:t>
      </w:r>
      <w:r w:rsidR="00D95801" w:rsidRPr="00595153">
        <w:rPr>
          <w:rFonts w:ascii="Calibri" w:eastAsia="Calibri" w:hAnsi="Calibri" w:cs="Calibri"/>
          <w:b/>
          <w:bCs/>
          <w:u w:val="single"/>
        </w:rPr>
        <w:t xml:space="preserve">lan Member Journey: </w:t>
      </w:r>
      <w:r w:rsidR="00DA0B24" w:rsidRPr="00595153">
        <w:rPr>
          <w:rFonts w:ascii="Calibri" w:eastAsia="Calibri" w:hAnsi="Calibri" w:cs="Calibri"/>
          <w:b/>
          <w:bCs/>
          <w:u w:val="single"/>
        </w:rPr>
        <w:t>What does this mean for your plan members?</w:t>
      </w:r>
    </w:p>
    <w:p w14:paraId="4EAE03F0" w14:textId="105589D8" w:rsidR="2EB43415" w:rsidRDefault="005E6249" w:rsidP="00C31FA0">
      <w:pPr>
        <w:spacing w:line="240" w:lineRule="exact"/>
      </w:pPr>
      <w:r>
        <w:t>Plan members will receive</w:t>
      </w:r>
      <w:r w:rsidR="00520FAD">
        <w:t xml:space="preserve"> a</w:t>
      </w:r>
      <w:r>
        <w:t xml:space="preserve"> </w:t>
      </w:r>
      <w:r w:rsidR="00B634B6">
        <w:t xml:space="preserve">communication </w:t>
      </w:r>
      <w:r w:rsidR="00687D15">
        <w:t>from thei</w:t>
      </w:r>
      <w:r w:rsidR="00711B0A">
        <w:t>r</w:t>
      </w:r>
      <w:r w:rsidR="007477CF">
        <w:t xml:space="preserve"> </w:t>
      </w:r>
      <w:r w:rsidR="00E84D92">
        <w:t>p</w:t>
      </w:r>
      <w:r w:rsidR="00687D15">
        <w:t xml:space="preserve">rivate </w:t>
      </w:r>
      <w:r w:rsidR="00E84D92">
        <w:t>i</w:t>
      </w:r>
      <w:r w:rsidR="00687D15">
        <w:t xml:space="preserve">nsurance </w:t>
      </w:r>
      <w:r w:rsidR="004D72A7">
        <w:t>p</w:t>
      </w:r>
      <w:r w:rsidR="00687D15">
        <w:t>rovider</w:t>
      </w:r>
      <w:r w:rsidR="00D967C4">
        <w:t xml:space="preserve"> which will </w:t>
      </w:r>
      <w:r w:rsidR="006A0DA1">
        <w:t xml:space="preserve">inform them of </w:t>
      </w:r>
      <w:r w:rsidR="00FA6A20">
        <w:t>the biosimilar</w:t>
      </w:r>
      <w:r w:rsidR="00E64F29">
        <w:t xml:space="preserve"> transition </w:t>
      </w:r>
      <w:r w:rsidR="006A0DA1">
        <w:t>po</w:t>
      </w:r>
      <w:r w:rsidR="00F82748">
        <w:t>licy</w:t>
      </w:r>
      <w:r w:rsidR="00CA245A">
        <w:t>.  They will be</w:t>
      </w:r>
      <w:r w:rsidR="00D55F85">
        <w:t xml:space="preserve"> instructed to</w:t>
      </w:r>
      <w:r w:rsidR="00CA245A">
        <w:t xml:space="preserve"> make an appointment with their physician to discuss</w:t>
      </w:r>
      <w:r w:rsidR="0077210A">
        <w:t xml:space="preserve"> </w:t>
      </w:r>
      <w:r w:rsidR="007D46BB">
        <w:t>their options</w:t>
      </w:r>
      <w:r w:rsidR="0077210A">
        <w:t>.</w:t>
      </w:r>
      <w:r w:rsidR="007D46BB">
        <w:t xml:space="preserve"> Based on previous Canadian biosimilar transition polic</w:t>
      </w:r>
      <w:r w:rsidR="00D55F85">
        <w:t>y results</w:t>
      </w:r>
      <w:r w:rsidR="007D46BB">
        <w:t xml:space="preserve">, </w:t>
      </w:r>
      <w:proofErr w:type="gramStart"/>
      <w:r w:rsidR="007D46BB">
        <w:t>the vast majority of</w:t>
      </w:r>
      <w:proofErr w:type="gramEnd"/>
      <w:r w:rsidR="007D46BB">
        <w:t xml:space="preserve"> patients will transition to a biosimilar</w:t>
      </w:r>
      <w:r w:rsidR="0093357A">
        <w:t xml:space="preserve"> and be immediately enrolled</w:t>
      </w:r>
      <w:r w:rsidR="00E43C0A">
        <w:t xml:space="preserve"> into the biosimilar patient support program</w:t>
      </w:r>
      <w:r w:rsidR="007D46BB">
        <w:t>. However, in exce</w:t>
      </w:r>
      <w:r w:rsidR="00022C09">
        <w:t>ptional cases, physicians may submit an Exemption Request</w:t>
      </w:r>
      <w:r w:rsidR="00B81E58">
        <w:t xml:space="preserve"> for a patient to remain on the reference biologic drug</w:t>
      </w:r>
      <w:r w:rsidR="00CB4EFC">
        <w:t xml:space="preserve"> based on the medical justification provided by the physician.</w:t>
      </w:r>
      <w:r w:rsidR="0077210A">
        <w:t xml:space="preserve">   </w:t>
      </w:r>
      <w:r w:rsidR="00687D15">
        <w:t xml:space="preserve"> </w:t>
      </w:r>
    </w:p>
    <w:p w14:paraId="2202EB31" w14:textId="062E9FD7" w:rsidR="00E44EEE" w:rsidRDefault="00E44EEE" w:rsidP="00E44EEE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However, it is important to remember that during the transition to a biosimilar the patient’s primary healthcare team, their physician and nurse, will not change. </w:t>
      </w:r>
    </w:p>
    <w:p w14:paraId="394CB001" w14:textId="77777777" w:rsidR="00CB7D5A" w:rsidRDefault="00CB7D5A" w:rsidP="00E44EEE">
      <w:pPr>
        <w:spacing w:line="240" w:lineRule="exact"/>
        <w:rPr>
          <w:rFonts w:ascii="Calibri" w:eastAsia="Calibri" w:hAnsi="Calibri" w:cs="Calibri"/>
        </w:rPr>
      </w:pPr>
    </w:p>
    <w:p w14:paraId="650586E6" w14:textId="328F2A0B" w:rsidR="00E44EEE" w:rsidRDefault="00E44EEE" w:rsidP="00E44EEE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Canadian patient groups have created multiple resources to help patients and physicians discuss transitioning to a biosimilar</w:t>
      </w:r>
    </w:p>
    <w:p w14:paraId="61966BDA" w14:textId="7E692B52" w:rsidR="00E44EEE" w:rsidRPr="00B9238C" w:rsidRDefault="009A3026" w:rsidP="00B9238C">
      <w:pPr>
        <w:pStyle w:val="ListParagraph"/>
        <w:numPr>
          <w:ilvl w:val="0"/>
          <w:numId w:val="6"/>
        </w:numPr>
        <w:spacing w:line="240" w:lineRule="exact"/>
        <w:rPr>
          <w:rFonts w:ascii="Calibri" w:eastAsia="Calibri" w:hAnsi="Calibri" w:cs="Calibri"/>
        </w:rPr>
      </w:pPr>
      <w:hyperlink r:id="rId24" w:history="1">
        <w:r w:rsidR="00C81792">
          <w:rPr>
            <w:rStyle w:val="Hyperlink"/>
            <w:rFonts w:ascii="Calibri" w:eastAsia="Calibri" w:hAnsi="Calibri" w:cs="Calibri"/>
          </w:rPr>
          <w:t>Patient Journey when Transitioning to a biosimilar</w:t>
        </w:r>
        <w:r w:rsidR="00E44EEE" w:rsidRPr="007B23F4">
          <w:rPr>
            <w:rStyle w:val="Hyperlink"/>
            <w:rFonts w:ascii="Calibri" w:eastAsia="Calibri" w:hAnsi="Calibri" w:cs="Calibri"/>
          </w:rPr>
          <w:t>: an animation</w:t>
        </w:r>
      </w:hyperlink>
    </w:p>
    <w:p w14:paraId="62B47471" w14:textId="11841078" w:rsidR="00E44EEE" w:rsidRDefault="009A3026" w:rsidP="00E44EEE">
      <w:pPr>
        <w:pStyle w:val="ListParagraph"/>
        <w:numPr>
          <w:ilvl w:val="0"/>
          <w:numId w:val="6"/>
        </w:numPr>
        <w:spacing w:line="240" w:lineRule="exact"/>
        <w:rPr>
          <w:rFonts w:ascii="Calibri" w:eastAsia="Calibri" w:hAnsi="Calibri" w:cs="Calibri"/>
        </w:rPr>
      </w:pPr>
      <w:hyperlink r:id="rId25" w:history="1">
        <w:r w:rsidR="00E44EEE" w:rsidRPr="00552BE5">
          <w:rPr>
            <w:rStyle w:val="Hyperlink"/>
            <w:rFonts w:ascii="Calibri" w:eastAsia="Calibri" w:hAnsi="Calibri" w:cs="Calibri"/>
          </w:rPr>
          <w:t>ACE Biosimilars Transition Infographic</w:t>
        </w:r>
      </w:hyperlink>
      <w:r w:rsidR="00E90C44">
        <w:rPr>
          <w:rStyle w:val="EndnoteReference"/>
          <w:rFonts w:ascii="Calibri" w:eastAsia="Calibri" w:hAnsi="Calibri" w:cs="Calibri"/>
          <w:color w:val="0563C1" w:themeColor="hyperlink"/>
          <w:u w:val="single"/>
        </w:rPr>
        <w:endnoteReference w:id="16"/>
      </w:r>
    </w:p>
    <w:p w14:paraId="3FE4029F" w14:textId="3269FED8" w:rsidR="00E44EEE" w:rsidRDefault="009A3026" w:rsidP="00E44EEE">
      <w:pPr>
        <w:pStyle w:val="ListParagraph"/>
        <w:numPr>
          <w:ilvl w:val="0"/>
          <w:numId w:val="6"/>
        </w:numPr>
        <w:spacing w:line="240" w:lineRule="exact"/>
        <w:rPr>
          <w:rFonts w:ascii="Calibri" w:eastAsia="Calibri" w:hAnsi="Calibri" w:cs="Calibri"/>
        </w:rPr>
      </w:pPr>
      <w:hyperlink r:id="rId26" w:history="1">
        <w:r w:rsidR="00E44EEE" w:rsidRPr="00CE69D7">
          <w:rPr>
            <w:rStyle w:val="Hyperlink"/>
            <w:rFonts w:ascii="Calibri" w:eastAsia="Calibri" w:hAnsi="Calibri" w:cs="Calibri"/>
          </w:rPr>
          <w:t>ACE Biosimilars Education Video: Transitioning to a Biosimilar</w:t>
        </w:r>
      </w:hyperlink>
      <w:r w:rsidR="00B84560">
        <w:rPr>
          <w:rStyle w:val="EndnoteReference"/>
          <w:rFonts w:ascii="Calibri" w:eastAsia="Calibri" w:hAnsi="Calibri" w:cs="Calibri"/>
          <w:color w:val="0563C1" w:themeColor="hyperlink"/>
          <w:u w:val="single"/>
        </w:rPr>
        <w:endnoteReference w:id="17"/>
      </w:r>
    </w:p>
    <w:p w14:paraId="294552FF" w14:textId="7015FFC0" w:rsidR="00E44EEE" w:rsidRPr="00DD12F2" w:rsidRDefault="009A3026" w:rsidP="00E44EEE">
      <w:pPr>
        <w:pStyle w:val="ListParagraph"/>
        <w:numPr>
          <w:ilvl w:val="0"/>
          <w:numId w:val="6"/>
        </w:numPr>
        <w:spacing w:line="240" w:lineRule="exact"/>
        <w:rPr>
          <w:rStyle w:val="Hyperlink"/>
          <w:rFonts w:ascii="Calibri" w:eastAsia="Calibri" w:hAnsi="Calibri" w:cs="Calibri"/>
          <w:color w:val="auto"/>
          <w:u w:val="none"/>
        </w:rPr>
      </w:pPr>
      <w:hyperlink r:id="rId27" w:history="1">
        <w:r w:rsidR="00E44EEE" w:rsidRPr="001A4999">
          <w:rPr>
            <w:rStyle w:val="Hyperlink"/>
            <w:rFonts w:ascii="Calibri" w:eastAsia="Calibri" w:hAnsi="Calibri" w:cs="Calibri"/>
          </w:rPr>
          <w:t>ACE Biosimilars Education Video: Helping Patients Manage the Transition</w:t>
        </w:r>
      </w:hyperlink>
      <w:r w:rsidR="00A22C20">
        <w:rPr>
          <w:rStyle w:val="EndnoteReference"/>
          <w:rFonts w:ascii="Calibri" w:eastAsia="Calibri" w:hAnsi="Calibri" w:cs="Calibri"/>
          <w:color w:val="0563C1" w:themeColor="hyperlink"/>
          <w:u w:val="single"/>
        </w:rPr>
        <w:endnoteReference w:id="18"/>
      </w:r>
    </w:p>
    <w:p w14:paraId="638DD42E" w14:textId="217E037B" w:rsidR="00E44EEE" w:rsidRPr="00DD12F2" w:rsidRDefault="009A3026" w:rsidP="00E44EEE">
      <w:pPr>
        <w:pStyle w:val="ListParagraph"/>
        <w:numPr>
          <w:ilvl w:val="0"/>
          <w:numId w:val="6"/>
        </w:numPr>
        <w:spacing w:line="240" w:lineRule="exact"/>
        <w:rPr>
          <w:rFonts w:ascii="Calibri" w:eastAsia="Calibri" w:hAnsi="Calibri" w:cs="Calibri"/>
        </w:rPr>
      </w:pPr>
      <w:hyperlink r:id="rId28" w:anchor="1" w:history="1">
        <w:r w:rsidR="00E44EEE">
          <w:rPr>
            <w:rStyle w:val="Hyperlink"/>
          </w:rPr>
          <w:t>CDHF: Transition Pathway Brochure for IBD Patients</w:t>
        </w:r>
      </w:hyperlink>
      <w:r w:rsidR="001F3713">
        <w:rPr>
          <w:rStyle w:val="EndnoteReference"/>
          <w:color w:val="0563C1" w:themeColor="hyperlink"/>
          <w:u w:val="single"/>
        </w:rPr>
        <w:endnoteReference w:id="19"/>
      </w:r>
    </w:p>
    <w:p w14:paraId="5311D6DB" w14:textId="5DA891CD" w:rsidR="00E44EEE" w:rsidRPr="00DD12F2" w:rsidRDefault="009A3026" w:rsidP="00E44EEE">
      <w:pPr>
        <w:pStyle w:val="ListParagraph"/>
        <w:numPr>
          <w:ilvl w:val="0"/>
          <w:numId w:val="6"/>
        </w:numPr>
        <w:spacing w:line="240" w:lineRule="exact"/>
        <w:rPr>
          <w:rStyle w:val="Hyperlink"/>
          <w:rFonts w:ascii="Calibri" w:eastAsia="Calibri" w:hAnsi="Calibri" w:cs="Calibri"/>
          <w:color w:val="auto"/>
          <w:u w:val="none"/>
        </w:rPr>
      </w:pPr>
      <w:hyperlink r:id="rId29" w:anchor="2" w:history="1">
        <w:r w:rsidR="00E44EEE">
          <w:rPr>
            <w:rStyle w:val="Hyperlink"/>
          </w:rPr>
          <w:t>CDHF Video: Transitioning to a Biosimilar</w:t>
        </w:r>
      </w:hyperlink>
      <w:r w:rsidR="00FC6870">
        <w:rPr>
          <w:rStyle w:val="EndnoteReference"/>
          <w:color w:val="0563C1" w:themeColor="hyperlink"/>
          <w:u w:val="single"/>
        </w:rPr>
        <w:endnoteReference w:id="20"/>
      </w:r>
    </w:p>
    <w:p w14:paraId="4B1EAEE0" w14:textId="77777777" w:rsidR="00C81792" w:rsidRDefault="00C81792" w:rsidP="4768404C"/>
    <w:p w14:paraId="38AA4770" w14:textId="54A62710" w:rsidR="00B64D9D" w:rsidRDefault="00B64D9D" w:rsidP="4768404C">
      <w:r>
        <w:t>References:</w:t>
      </w:r>
    </w:p>
    <w:sectPr w:rsidR="00B64D9D">
      <w:headerReference w:type="default" r:id="rId3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2AFF9" w14:textId="77777777" w:rsidR="00C51B5A" w:rsidRDefault="00C51B5A" w:rsidP="005904D4">
      <w:pPr>
        <w:spacing w:after="0" w:line="240" w:lineRule="auto"/>
      </w:pPr>
      <w:r>
        <w:separator/>
      </w:r>
    </w:p>
  </w:endnote>
  <w:endnote w:type="continuationSeparator" w:id="0">
    <w:p w14:paraId="6A727BD2" w14:textId="77777777" w:rsidR="00C51B5A" w:rsidRDefault="00C51B5A" w:rsidP="005904D4">
      <w:pPr>
        <w:spacing w:after="0" w:line="240" w:lineRule="auto"/>
      </w:pPr>
      <w:r>
        <w:continuationSeparator/>
      </w:r>
    </w:p>
  </w:endnote>
  <w:endnote w:type="continuationNotice" w:id="1">
    <w:p w14:paraId="717B41EF" w14:textId="77777777" w:rsidR="00C51B5A" w:rsidRDefault="00C51B5A">
      <w:pPr>
        <w:spacing w:after="0" w:line="240" w:lineRule="auto"/>
      </w:pPr>
    </w:p>
  </w:endnote>
  <w:endnote w:id="2">
    <w:p w14:paraId="6741FEB6" w14:textId="4CB120E4" w:rsidR="00303C5C" w:rsidRPr="00303C5C" w:rsidRDefault="00303C5C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" w:history="1">
        <w:r w:rsidR="00DC25EB">
          <w:rPr>
            <w:rStyle w:val="Hyperlink"/>
          </w:rPr>
          <w:t>Biosimilar biologic drugs in Canada: Health Canada Fact Sheet</w:t>
        </w:r>
      </w:hyperlink>
    </w:p>
  </w:endnote>
  <w:endnote w:id="3">
    <w:p w14:paraId="67B53259" w14:textId="4E7E90E2" w:rsidR="00DA1C49" w:rsidRPr="00DA1C49" w:rsidRDefault="00DA1C4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2" w:history="1">
        <w:r w:rsidR="00DC25EB">
          <w:rPr>
            <w:rStyle w:val="Hyperlink"/>
          </w:rPr>
          <w:t>Canadian Biosimilars Forum</w:t>
        </w:r>
      </w:hyperlink>
    </w:p>
  </w:endnote>
  <w:endnote w:id="4">
    <w:p w14:paraId="2C7C613B" w14:textId="02965639" w:rsidR="0014278D" w:rsidRPr="0014278D" w:rsidRDefault="0014278D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3" w:history="1">
        <w:r>
          <w:rPr>
            <w:rStyle w:val="Hyperlink"/>
          </w:rPr>
          <w:t>Canadian Digestive Health Foundation Biosimilar Library</w:t>
        </w:r>
      </w:hyperlink>
    </w:p>
  </w:endnote>
  <w:endnote w:id="5">
    <w:p w14:paraId="3C1FE4AE" w14:textId="39C44D71" w:rsidR="00312AFA" w:rsidRPr="00312AFA" w:rsidRDefault="00312AFA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4" w:history="1">
        <w:r>
          <w:rPr>
            <w:rStyle w:val="Hyperlink"/>
          </w:rPr>
          <w:t>What are biosimilars? | Arthritis Society</w:t>
        </w:r>
      </w:hyperlink>
    </w:p>
  </w:endnote>
  <w:endnote w:id="6">
    <w:p w14:paraId="01B5DF70" w14:textId="6794D738" w:rsidR="007D1985" w:rsidRPr="007D1985" w:rsidRDefault="007D1985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5" w:history="1">
        <w:r>
          <w:rPr>
            <w:rStyle w:val="Hyperlink"/>
          </w:rPr>
          <w:t>Biosim Exchange | ACE</w:t>
        </w:r>
      </w:hyperlink>
    </w:p>
  </w:endnote>
  <w:endnote w:id="7">
    <w:p w14:paraId="1AA85E0B" w14:textId="790AD337" w:rsidR="00E67CDD" w:rsidRPr="00E67CDD" w:rsidRDefault="00E67CDD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6" w:history="1">
        <w:r w:rsidR="00026026">
          <w:rPr>
            <w:rStyle w:val="Hyperlink"/>
          </w:rPr>
          <w:t>Update on biosimilars in Canada - April 2021</w:t>
        </w:r>
      </w:hyperlink>
    </w:p>
  </w:endnote>
  <w:endnote w:id="8">
    <w:p w14:paraId="6C822664" w14:textId="1A5FF823" w:rsidR="008C5BDC" w:rsidRPr="008C5BDC" w:rsidRDefault="008C5BDC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7" w:history="1">
        <w:r>
          <w:rPr>
            <w:rStyle w:val="Hyperlink"/>
          </w:rPr>
          <w:t>PMPRB 2020 biologics-part1-market-trends.pdf</w:t>
        </w:r>
      </w:hyperlink>
    </w:p>
  </w:endnote>
  <w:endnote w:id="9">
    <w:p w14:paraId="609BAF84" w14:textId="553FD6B9" w:rsidR="00B67D43" w:rsidRPr="00B67D43" w:rsidRDefault="00B67D4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8" w:history="1">
        <w:r>
          <w:rPr>
            <w:rStyle w:val="Hyperlink"/>
          </w:rPr>
          <w:t>Biosimilars Initiative Province of British Columbia</w:t>
        </w:r>
      </w:hyperlink>
    </w:p>
  </w:endnote>
  <w:endnote w:id="10">
    <w:p w14:paraId="30521EC6" w14:textId="061DCEBC" w:rsidR="00957598" w:rsidRPr="00957598" w:rsidRDefault="00957598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9" w:history="1">
        <w:r>
          <w:rPr>
            <w:rStyle w:val="Hyperlink"/>
          </w:rPr>
          <w:t>Rapid monitoring of health services utilization following a shift in coverage from brand name to biosimilar drugs in British Columbia</w:t>
        </w:r>
      </w:hyperlink>
    </w:p>
  </w:endnote>
  <w:endnote w:id="11">
    <w:p w14:paraId="5B3142BB" w14:textId="19FD393B" w:rsidR="00177234" w:rsidRPr="00177234" w:rsidRDefault="0017723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0" w:history="1">
        <w:r>
          <w:rPr>
            <w:rStyle w:val="Hyperlink"/>
          </w:rPr>
          <w:t>Alberta, Canada, Sees Early Success From Switching Patients to Biosimilars</w:t>
        </w:r>
      </w:hyperlink>
    </w:p>
  </w:endnote>
  <w:endnote w:id="12">
    <w:p w14:paraId="0C3382D5" w14:textId="4CD25DD8" w:rsidR="00E55B48" w:rsidRPr="00E55B48" w:rsidRDefault="00E55B48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1" w:history="1">
        <w:r w:rsidR="00391067">
          <w:rPr>
            <w:rStyle w:val="Hyperlink"/>
          </w:rPr>
          <w:t>Private Payor Journey to Biosimilar Switching</w:t>
        </w:r>
      </w:hyperlink>
    </w:p>
  </w:endnote>
  <w:endnote w:id="13">
    <w:p w14:paraId="4AF87753" w14:textId="65C6E94F" w:rsidR="00610B7F" w:rsidRPr="00610B7F" w:rsidRDefault="00610B7F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2" w:history="1">
        <w:r>
          <w:rPr>
            <w:rStyle w:val="Hyperlink"/>
          </w:rPr>
          <w:t>Switching to biosimilars can generate savings</w:t>
        </w:r>
      </w:hyperlink>
    </w:p>
  </w:endnote>
  <w:endnote w:id="14">
    <w:p w14:paraId="7B996E93" w14:textId="5AFDED04" w:rsidR="00391067" w:rsidRPr="00391067" w:rsidRDefault="00391067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3" w:history="1">
        <w:r>
          <w:rPr>
            <w:rStyle w:val="Hyperlink"/>
          </w:rPr>
          <w:t>PMPRB Report on Biosimilar Savings in Canada</w:t>
        </w:r>
      </w:hyperlink>
    </w:p>
  </w:endnote>
  <w:endnote w:id="15">
    <w:p w14:paraId="4969982A" w14:textId="418BEC98" w:rsidR="00BB4D6B" w:rsidRPr="00BB4D6B" w:rsidRDefault="00BB4D6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4" w:history="1">
        <w:r>
          <w:rPr>
            <w:rStyle w:val="Hyperlink"/>
          </w:rPr>
          <w:t xml:space="preserve">Responding to Alberta's Biosimilar Initiative |  Equitable Life's </w:t>
        </w:r>
      </w:hyperlink>
    </w:p>
  </w:endnote>
  <w:endnote w:id="16">
    <w:p w14:paraId="127881D8" w14:textId="32719E0E" w:rsidR="00E90C44" w:rsidRPr="00E90C44" w:rsidRDefault="00E90C4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5" w:history="1">
        <w:r>
          <w:rPr>
            <w:rStyle w:val="Hyperlink"/>
          </w:rPr>
          <w:t>BiosimilarsinCanada_Infographic_APRIL2021_En.pdf (jointhealth.org)</w:t>
        </w:r>
      </w:hyperlink>
    </w:p>
  </w:endnote>
  <w:endnote w:id="17">
    <w:p w14:paraId="2762740B" w14:textId="6064EF3F" w:rsidR="00B84560" w:rsidRPr="00B84560" w:rsidRDefault="00B84560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6" w:history="1">
        <w:r>
          <w:rPr>
            <w:rStyle w:val="Hyperlink"/>
          </w:rPr>
          <w:t>Transitioning to a biosimilar ACE</w:t>
        </w:r>
      </w:hyperlink>
    </w:p>
  </w:endnote>
  <w:endnote w:id="18">
    <w:p w14:paraId="170165CF" w14:textId="089428C7" w:rsidR="00A22C20" w:rsidRPr="00A22C20" w:rsidRDefault="00A22C20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7" w:history="1">
        <w:r>
          <w:rPr>
            <w:rStyle w:val="Hyperlink"/>
          </w:rPr>
          <w:t xml:space="preserve"> Helping patients manage the transition to a biosimilar</w:t>
        </w:r>
      </w:hyperlink>
    </w:p>
  </w:endnote>
  <w:endnote w:id="19">
    <w:p w14:paraId="7A58497E" w14:textId="15DF141A" w:rsidR="001F3713" w:rsidRPr="001F3713" w:rsidRDefault="001F371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8" w:history="1">
        <w:r>
          <w:rPr>
            <w:rStyle w:val="Hyperlink"/>
          </w:rPr>
          <w:t>Transition Pathway Brochure for Patients</w:t>
        </w:r>
      </w:hyperlink>
    </w:p>
  </w:endnote>
  <w:endnote w:id="20">
    <w:p w14:paraId="26EE42C3" w14:textId="5ECB6D8A" w:rsidR="00FC6870" w:rsidRPr="00FC6870" w:rsidRDefault="00FC6870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9" w:history="1">
        <w:r>
          <w:rPr>
            <w:rStyle w:val="Hyperlink"/>
          </w:rPr>
          <w:t>Switching from a Biologic to a Biosimilar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8416C" w14:textId="77777777" w:rsidR="00C51B5A" w:rsidRDefault="00C51B5A" w:rsidP="005904D4">
      <w:pPr>
        <w:spacing w:after="0" w:line="240" w:lineRule="auto"/>
      </w:pPr>
      <w:r>
        <w:separator/>
      </w:r>
    </w:p>
  </w:footnote>
  <w:footnote w:type="continuationSeparator" w:id="0">
    <w:p w14:paraId="61C116BF" w14:textId="77777777" w:rsidR="00C51B5A" w:rsidRDefault="00C51B5A" w:rsidP="005904D4">
      <w:pPr>
        <w:spacing w:after="0" w:line="240" w:lineRule="auto"/>
      </w:pPr>
      <w:r>
        <w:continuationSeparator/>
      </w:r>
    </w:p>
  </w:footnote>
  <w:footnote w:type="continuationNotice" w:id="1">
    <w:p w14:paraId="5ABDC92E" w14:textId="77777777" w:rsidR="00C51B5A" w:rsidRDefault="00C51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2FE8E" w14:textId="1CEFF5F2" w:rsidR="00804DDA" w:rsidRDefault="4768404C" w:rsidP="00B93D69">
    <w:pPr>
      <w:tabs>
        <w:tab w:val="left" w:pos="250"/>
        <w:tab w:val="left" w:pos="2266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 xml:space="preserve">                                                                                                    </w:t>
    </w:r>
  </w:p>
  <w:p w14:paraId="4D527919" w14:textId="556E8D8B" w:rsidR="005904D4" w:rsidRDefault="005904D4">
    <w:pPr>
      <w:pStyle w:val="Header"/>
    </w:pPr>
  </w:p>
  <w:p w14:paraId="5152AC6F" w14:textId="77777777" w:rsidR="005904D4" w:rsidRDefault="00590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A2B"/>
    <w:multiLevelType w:val="hybridMultilevel"/>
    <w:tmpl w:val="FFFFFFFF"/>
    <w:lvl w:ilvl="0" w:tplc="87043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7060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D49D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50E7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0C9C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3043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CE04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1C07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FCE9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77DE0"/>
    <w:multiLevelType w:val="hybridMultilevel"/>
    <w:tmpl w:val="36BC2B9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9C8"/>
    <w:multiLevelType w:val="hybridMultilevel"/>
    <w:tmpl w:val="4FD88B82"/>
    <w:lvl w:ilvl="0" w:tplc="977A9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28C0"/>
    <w:multiLevelType w:val="hybridMultilevel"/>
    <w:tmpl w:val="A9802EF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325"/>
    <w:multiLevelType w:val="hybridMultilevel"/>
    <w:tmpl w:val="A198D10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789F"/>
    <w:multiLevelType w:val="hybridMultilevel"/>
    <w:tmpl w:val="72DE0CA8"/>
    <w:lvl w:ilvl="0" w:tplc="BB24E5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14B59"/>
    <w:multiLevelType w:val="hybridMultilevel"/>
    <w:tmpl w:val="B394A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A2AC4"/>
    <w:multiLevelType w:val="hybridMultilevel"/>
    <w:tmpl w:val="957C2D5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D"/>
    <w:rsid w:val="00001F39"/>
    <w:rsid w:val="000069A5"/>
    <w:rsid w:val="00011BC1"/>
    <w:rsid w:val="000123DD"/>
    <w:rsid w:val="00013CB8"/>
    <w:rsid w:val="00014B65"/>
    <w:rsid w:val="000152DB"/>
    <w:rsid w:val="0001664E"/>
    <w:rsid w:val="000213D8"/>
    <w:rsid w:val="00021DB7"/>
    <w:rsid w:val="0002279A"/>
    <w:rsid w:val="00022C09"/>
    <w:rsid w:val="00024824"/>
    <w:rsid w:val="00026026"/>
    <w:rsid w:val="00027E8A"/>
    <w:rsid w:val="00032268"/>
    <w:rsid w:val="0003793D"/>
    <w:rsid w:val="00043A19"/>
    <w:rsid w:val="00051F07"/>
    <w:rsid w:val="0005473E"/>
    <w:rsid w:val="00054E3E"/>
    <w:rsid w:val="0005540C"/>
    <w:rsid w:val="00055FC2"/>
    <w:rsid w:val="00062BE6"/>
    <w:rsid w:val="00065237"/>
    <w:rsid w:val="00065BCF"/>
    <w:rsid w:val="000663D5"/>
    <w:rsid w:val="0007008A"/>
    <w:rsid w:val="00072568"/>
    <w:rsid w:val="000726C6"/>
    <w:rsid w:val="0007376C"/>
    <w:rsid w:val="000753D5"/>
    <w:rsid w:val="00075A3F"/>
    <w:rsid w:val="0008124E"/>
    <w:rsid w:val="00083065"/>
    <w:rsid w:val="00086F7B"/>
    <w:rsid w:val="00087443"/>
    <w:rsid w:val="000905F0"/>
    <w:rsid w:val="000933EC"/>
    <w:rsid w:val="0009472D"/>
    <w:rsid w:val="00095C9D"/>
    <w:rsid w:val="00097C19"/>
    <w:rsid w:val="0009843A"/>
    <w:rsid w:val="000A14C2"/>
    <w:rsid w:val="000A7248"/>
    <w:rsid w:val="000A792C"/>
    <w:rsid w:val="000A7F34"/>
    <w:rsid w:val="000B0603"/>
    <w:rsid w:val="000B243E"/>
    <w:rsid w:val="000B5733"/>
    <w:rsid w:val="000B697B"/>
    <w:rsid w:val="000C184D"/>
    <w:rsid w:val="000C2858"/>
    <w:rsid w:val="000C6ADC"/>
    <w:rsid w:val="000D03FB"/>
    <w:rsid w:val="000D39D4"/>
    <w:rsid w:val="000D4BFF"/>
    <w:rsid w:val="000D798A"/>
    <w:rsid w:val="000D7AAB"/>
    <w:rsid w:val="000E298C"/>
    <w:rsid w:val="000E4BBA"/>
    <w:rsid w:val="000E5905"/>
    <w:rsid w:val="000E7626"/>
    <w:rsid w:val="000F30B1"/>
    <w:rsid w:val="000F4260"/>
    <w:rsid w:val="000F46AB"/>
    <w:rsid w:val="000F677E"/>
    <w:rsid w:val="000F6C16"/>
    <w:rsid w:val="000F70FA"/>
    <w:rsid w:val="000F771A"/>
    <w:rsid w:val="0010066A"/>
    <w:rsid w:val="00110E0C"/>
    <w:rsid w:val="00113EAE"/>
    <w:rsid w:val="0012391E"/>
    <w:rsid w:val="00124BB4"/>
    <w:rsid w:val="00124CE2"/>
    <w:rsid w:val="001277DE"/>
    <w:rsid w:val="00127D0C"/>
    <w:rsid w:val="00130879"/>
    <w:rsid w:val="00130AE8"/>
    <w:rsid w:val="00133D00"/>
    <w:rsid w:val="00133D80"/>
    <w:rsid w:val="0014124E"/>
    <w:rsid w:val="0014278D"/>
    <w:rsid w:val="001439BC"/>
    <w:rsid w:val="00144BB4"/>
    <w:rsid w:val="00145025"/>
    <w:rsid w:val="0014510D"/>
    <w:rsid w:val="00146149"/>
    <w:rsid w:val="00156360"/>
    <w:rsid w:val="00157BC6"/>
    <w:rsid w:val="00165AA5"/>
    <w:rsid w:val="00171199"/>
    <w:rsid w:val="00173099"/>
    <w:rsid w:val="001730D6"/>
    <w:rsid w:val="001751B8"/>
    <w:rsid w:val="00175A0E"/>
    <w:rsid w:val="00177234"/>
    <w:rsid w:val="00177C42"/>
    <w:rsid w:val="00180E57"/>
    <w:rsid w:val="00183FC6"/>
    <w:rsid w:val="00191F6E"/>
    <w:rsid w:val="001943CB"/>
    <w:rsid w:val="001A1768"/>
    <w:rsid w:val="001A4137"/>
    <w:rsid w:val="001A4999"/>
    <w:rsid w:val="001A6901"/>
    <w:rsid w:val="001B0D64"/>
    <w:rsid w:val="001B392D"/>
    <w:rsid w:val="001C050E"/>
    <w:rsid w:val="001C19F7"/>
    <w:rsid w:val="001C2604"/>
    <w:rsid w:val="001C2ECF"/>
    <w:rsid w:val="001D0CE7"/>
    <w:rsid w:val="001D0DB5"/>
    <w:rsid w:val="001E002C"/>
    <w:rsid w:val="001E3C38"/>
    <w:rsid w:val="001E4825"/>
    <w:rsid w:val="001F3713"/>
    <w:rsid w:val="001F5614"/>
    <w:rsid w:val="00202012"/>
    <w:rsid w:val="00203AC8"/>
    <w:rsid w:val="00204822"/>
    <w:rsid w:val="00205E8D"/>
    <w:rsid w:val="002063E5"/>
    <w:rsid w:val="002108D7"/>
    <w:rsid w:val="00213A68"/>
    <w:rsid w:val="00214162"/>
    <w:rsid w:val="00215977"/>
    <w:rsid w:val="00215EAF"/>
    <w:rsid w:val="00222B6C"/>
    <w:rsid w:val="00222BE2"/>
    <w:rsid w:val="0022506A"/>
    <w:rsid w:val="0022509B"/>
    <w:rsid w:val="0022655C"/>
    <w:rsid w:val="00230C85"/>
    <w:rsid w:val="002311A3"/>
    <w:rsid w:val="00232679"/>
    <w:rsid w:val="00234026"/>
    <w:rsid w:val="0023713D"/>
    <w:rsid w:val="0024521A"/>
    <w:rsid w:val="00245260"/>
    <w:rsid w:val="00245701"/>
    <w:rsid w:val="0024586C"/>
    <w:rsid w:val="00246C40"/>
    <w:rsid w:val="00251F1D"/>
    <w:rsid w:val="0025624C"/>
    <w:rsid w:val="00260817"/>
    <w:rsid w:val="00261C17"/>
    <w:rsid w:val="00262AD5"/>
    <w:rsid w:val="00263954"/>
    <w:rsid w:val="00263F9A"/>
    <w:rsid w:val="002660D0"/>
    <w:rsid w:val="002677F8"/>
    <w:rsid w:val="00270D97"/>
    <w:rsid w:val="00271B48"/>
    <w:rsid w:val="0027394A"/>
    <w:rsid w:val="002749FE"/>
    <w:rsid w:val="002764FE"/>
    <w:rsid w:val="00277F2D"/>
    <w:rsid w:val="00280276"/>
    <w:rsid w:val="0028080C"/>
    <w:rsid w:val="002825BE"/>
    <w:rsid w:val="00285756"/>
    <w:rsid w:val="0028591B"/>
    <w:rsid w:val="00295166"/>
    <w:rsid w:val="00295A16"/>
    <w:rsid w:val="0029612B"/>
    <w:rsid w:val="00296605"/>
    <w:rsid w:val="0029664F"/>
    <w:rsid w:val="002A2C4E"/>
    <w:rsid w:val="002A38C8"/>
    <w:rsid w:val="002A3C23"/>
    <w:rsid w:val="002A6839"/>
    <w:rsid w:val="002A6B1C"/>
    <w:rsid w:val="002B1176"/>
    <w:rsid w:val="002B48A0"/>
    <w:rsid w:val="002C1F69"/>
    <w:rsid w:val="002C6AC6"/>
    <w:rsid w:val="002D52EE"/>
    <w:rsid w:val="002D68E0"/>
    <w:rsid w:val="002E11E4"/>
    <w:rsid w:val="002E1AD3"/>
    <w:rsid w:val="002F2D33"/>
    <w:rsid w:val="002F3867"/>
    <w:rsid w:val="002F4E77"/>
    <w:rsid w:val="003006B0"/>
    <w:rsid w:val="00301203"/>
    <w:rsid w:val="0030286F"/>
    <w:rsid w:val="00302F15"/>
    <w:rsid w:val="00303C5C"/>
    <w:rsid w:val="003050ED"/>
    <w:rsid w:val="003064BB"/>
    <w:rsid w:val="0030689A"/>
    <w:rsid w:val="003077C1"/>
    <w:rsid w:val="003118E3"/>
    <w:rsid w:val="00312AFA"/>
    <w:rsid w:val="00312B79"/>
    <w:rsid w:val="00314173"/>
    <w:rsid w:val="00314DA4"/>
    <w:rsid w:val="0031501A"/>
    <w:rsid w:val="0031564A"/>
    <w:rsid w:val="003216EF"/>
    <w:rsid w:val="00326EDB"/>
    <w:rsid w:val="0033212E"/>
    <w:rsid w:val="00333CE6"/>
    <w:rsid w:val="003374A7"/>
    <w:rsid w:val="00337808"/>
    <w:rsid w:val="00340E69"/>
    <w:rsid w:val="003411FC"/>
    <w:rsid w:val="003416A0"/>
    <w:rsid w:val="003434CD"/>
    <w:rsid w:val="003439FA"/>
    <w:rsid w:val="00351F41"/>
    <w:rsid w:val="00353981"/>
    <w:rsid w:val="00355C28"/>
    <w:rsid w:val="00355DB3"/>
    <w:rsid w:val="003573DA"/>
    <w:rsid w:val="00364321"/>
    <w:rsid w:val="0036523F"/>
    <w:rsid w:val="00366E13"/>
    <w:rsid w:val="00372CC8"/>
    <w:rsid w:val="00375311"/>
    <w:rsid w:val="00391067"/>
    <w:rsid w:val="00392298"/>
    <w:rsid w:val="0039613C"/>
    <w:rsid w:val="003A19AC"/>
    <w:rsid w:val="003A1E14"/>
    <w:rsid w:val="003A4EC7"/>
    <w:rsid w:val="003A4F35"/>
    <w:rsid w:val="003B0B8C"/>
    <w:rsid w:val="003B20A5"/>
    <w:rsid w:val="003B24CB"/>
    <w:rsid w:val="003B6994"/>
    <w:rsid w:val="003C107F"/>
    <w:rsid w:val="003C6EC6"/>
    <w:rsid w:val="003D5C98"/>
    <w:rsid w:val="003D70ED"/>
    <w:rsid w:val="003D7B2B"/>
    <w:rsid w:val="003E1362"/>
    <w:rsid w:val="003F068B"/>
    <w:rsid w:val="003F1202"/>
    <w:rsid w:val="003F6890"/>
    <w:rsid w:val="003F6B05"/>
    <w:rsid w:val="003F6CE1"/>
    <w:rsid w:val="00403018"/>
    <w:rsid w:val="00406F55"/>
    <w:rsid w:val="00407590"/>
    <w:rsid w:val="004120EE"/>
    <w:rsid w:val="00420869"/>
    <w:rsid w:val="00420F38"/>
    <w:rsid w:val="00422EF4"/>
    <w:rsid w:val="00424B3E"/>
    <w:rsid w:val="0042550E"/>
    <w:rsid w:val="00427093"/>
    <w:rsid w:val="004318B3"/>
    <w:rsid w:val="004330F2"/>
    <w:rsid w:val="004342BE"/>
    <w:rsid w:val="0044005B"/>
    <w:rsid w:val="0044035C"/>
    <w:rsid w:val="004423A9"/>
    <w:rsid w:val="00443612"/>
    <w:rsid w:val="00443A4F"/>
    <w:rsid w:val="00444590"/>
    <w:rsid w:val="00454AFB"/>
    <w:rsid w:val="00455F14"/>
    <w:rsid w:val="00463DE6"/>
    <w:rsid w:val="00467503"/>
    <w:rsid w:val="004676E5"/>
    <w:rsid w:val="0047035B"/>
    <w:rsid w:val="004711CB"/>
    <w:rsid w:val="00471E33"/>
    <w:rsid w:val="00472A0E"/>
    <w:rsid w:val="00476F9B"/>
    <w:rsid w:val="004771BB"/>
    <w:rsid w:val="004826DF"/>
    <w:rsid w:val="0049001B"/>
    <w:rsid w:val="00490884"/>
    <w:rsid w:val="00490AF5"/>
    <w:rsid w:val="00491E94"/>
    <w:rsid w:val="00493565"/>
    <w:rsid w:val="0049383A"/>
    <w:rsid w:val="004941B9"/>
    <w:rsid w:val="004A2387"/>
    <w:rsid w:val="004A29C1"/>
    <w:rsid w:val="004A2C39"/>
    <w:rsid w:val="004A32F8"/>
    <w:rsid w:val="004A5371"/>
    <w:rsid w:val="004A59A9"/>
    <w:rsid w:val="004A5AD3"/>
    <w:rsid w:val="004A6F5E"/>
    <w:rsid w:val="004A736A"/>
    <w:rsid w:val="004B22F0"/>
    <w:rsid w:val="004B2931"/>
    <w:rsid w:val="004B5291"/>
    <w:rsid w:val="004B606C"/>
    <w:rsid w:val="004C0FBD"/>
    <w:rsid w:val="004C19C8"/>
    <w:rsid w:val="004C497A"/>
    <w:rsid w:val="004C51F2"/>
    <w:rsid w:val="004C5494"/>
    <w:rsid w:val="004C6ECD"/>
    <w:rsid w:val="004C77DB"/>
    <w:rsid w:val="004C796E"/>
    <w:rsid w:val="004D3D9D"/>
    <w:rsid w:val="004D5FD1"/>
    <w:rsid w:val="004D72A7"/>
    <w:rsid w:val="004D78DC"/>
    <w:rsid w:val="004E18E6"/>
    <w:rsid w:val="004E1E9C"/>
    <w:rsid w:val="004E45FC"/>
    <w:rsid w:val="004F7301"/>
    <w:rsid w:val="004F78AF"/>
    <w:rsid w:val="00502777"/>
    <w:rsid w:val="00504652"/>
    <w:rsid w:val="0050477C"/>
    <w:rsid w:val="00505536"/>
    <w:rsid w:val="00505A27"/>
    <w:rsid w:val="0052048E"/>
    <w:rsid w:val="00520FAD"/>
    <w:rsid w:val="00523872"/>
    <w:rsid w:val="005247CE"/>
    <w:rsid w:val="00524F02"/>
    <w:rsid w:val="005260F7"/>
    <w:rsid w:val="00526C56"/>
    <w:rsid w:val="00531424"/>
    <w:rsid w:val="00531A0F"/>
    <w:rsid w:val="00531DCA"/>
    <w:rsid w:val="00531DCD"/>
    <w:rsid w:val="00532AD0"/>
    <w:rsid w:val="005335D4"/>
    <w:rsid w:val="00533DB0"/>
    <w:rsid w:val="00533F9B"/>
    <w:rsid w:val="005347D7"/>
    <w:rsid w:val="00537EB3"/>
    <w:rsid w:val="00540577"/>
    <w:rsid w:val="0054100D"/>
    <w:rsid w:val="00541F3E"/>
    <w:rsid w:val="005429A6"/>
    <w:rsid w:val="00542D6B"/>
    <w:rsid w:val="0054708E"/>
    <w:rsid w:val="005503D2"/>
    <w:rsid w:val="00552BE5"/>
    <w:rsid w:val="00554B0D"/>
    <w:rsid w:val="005556BF"/>
    <w:rsid w:val="00555E3A"/>
    <w:rsid w:val="00560F51"/>
    <w:rsid w:val="00562D0E"/>
    <w:rsid w:val="00563966"/>
    <w:rsid w:val="00565996"/>
    <w:rsid w:val="00565E5B"/>
    <w:rsid w:val="005733C1"/>
    <w:rsid w:val="00576A29"/>
    <w:rsid w:val="005804DD"/>
    <w:rsid w:val="00581223"/>
    <w:rsid w:val="00581E21"/>
    <w:rsid w:val="005850EA"/>
    <w:rsid w:val="00585A2B"/>
    <w:rsid w:val="005904D4"/>
    <w:rsid w:val="00590639"/>
    <w:rsid w:val="005923AA"/>
    <w:rsid w:val="00593A18"/>
    <w:rsid w:val="00595153"/>
    <w:rsid w:val="00597426"/>
    <w:rsid w:val="005A1385"/>
    <w:rsid w:val="005A2013"/>
    <w:rsid w:val="005A2C12"/>
    <w:rsid w:val="005A3EB0"/>
    <w:rsid w:val="005A43EC"/>
    <w:rsid w:val="005A5FC9"/>
    <w:rsid w:val="005A6CB7"/>
    <w:rsid w:val="005B18CE"/>
    <w:rsid w:val="005B2334"/>
    <w:rsid w:val="005B5C1B"/>
    <w:rsid w:val="005B66DC"/>
    <w:rsid w:val="005D0F57"/>
    <w:rsid w:val="005D167F"/>
    <w:rsid w:val="005D5745"/>
    <w:rsid w:val="005E05F0"/>
    <w:rsid w:val="005E0DCF"/>
    <w:rsid w:val="005E2D62"/>
    <w:rsid w:val="005E459A"/>
    <w:rsid w:val="005E4603"/>
    <w:rsid w:val="005E4A16"/>
    <w:rsid w:val="005E561B"/>
    <w:rsid w:val="005E5AC6"/>
    <w:rsid w:val="005E6249"/>
    <w:rsid w:val="005E786D"/>
    <w:rsid w:val="005F0D3C"/>
    <w:rsid w:val="005F1364"/>
    <w:rsid w:val="005F1984"/>
    <w:rsid w:val="005F1C8B"/>
    <w:rsid w:val="005F4017"/>
    <w:rsid w:val="005F44FB"/>
    <w:rsid w:val="005F46F9"/>
    <w:rsid w:val="005F490A"/>
    <w:rsid w:val="005F5869"/>
    <w:rsid w:val="005F67EC"/>
    <w:rsid w:val="005F6C52"/>
    <w:rsid w:val="00600E82"/>
    <w:rsid w:val="00601DF9"/>
    <w:rsid w:val="00604962"/>
    <w:rsid w:val="00605187"/>
    <w:rsid w:val="00607A01"/>
    <w:rsid w:val="00610A09"/>
    <w:rsid w:val="00610B7F"/>
    <w:rsid w:val="00611B31"/>
    <w:rsid w:val="00617FE5"/>
    <w:rsid w:val="0062074E"/>
    <w:rsid w:val="00621F34"/>
    <w:rsid w:val="00623DE5"/>
    <w:rsid w:val="00624884"/>
    <w:rsid w:val="006268EF"/>
    <w:rsid w:val="00632C8E"/>
    <w:rsid w:val="00633B70"/>
    <w:rsid w:val="00634D05"/>
    <w:rsid w:val="00636E45"/>
    <w:rsid w:val="00637F7A"/>
    <w:rsid w:val="006400AC"/>
    <w:rsid w:val="0064144C"/>
    <w:rsid w:val="006439DA"/>
    <w:rsid w:val="0064446D"/>
    <w:rsid w:val="00644A29"/>
    <w:rsid w:val="00644F59"/>
    <w:rsid w:val="00645CF6"/>
    <w:rsid w:val="00645DD3"/>
    <w:rsid w:val="00646125"/>
    <w:rsid w:val="006505C3"/>
    <w:rsid w:val="00654278"/>
    <w:rsid w:val="006627FF"/>
    <w:rsid w:val="00663A47"/>
    <w:rsid w:val="00664C4D"/>
    <w:rsid w:val="00670853"/>
    <w:rsid w:val="006712D9"/>
    <w:rsid w:val="00672638"/>
    <w:rsid w:val="00672E8C"/>
    <w:rsid w:val="00676936"/>
    <w:rsid w:val="006816C6"/>
    <w:rsid w:val="006829F0"/>
    <w:rsid w:val="00683D8F"/>
    <w:rsid w:val="00687D15"/>
    <w:rsid w:val="00687E3C"/>
    <w:rsid w:val="006912E5"/>
    <w:rsid w:val="00691CA1"/>
    <w:rsid w:val="006A0DA1"/>
    <w:rsid w:val="006A204C"/>
    <w:rsid w:val="006A6A33"/>
    <w:rsid w:val="006B0E4E"/>
    <w:rsid w:val="006B13A7"/>
    <w:rsid w:val="006B1A09"/>
    <w:rsid w:val="006B3408"/>
    <w:rsid w:val="006B3651"/>
    <w:rsid w:val="006B5EC5"/>
    <w:rsid w:val="006B6D0B"/>
    <w:rsid w:val="006B7B52"/>
    <w:rsid w:val="006C1675"/>
    <w:rsid w:val="006C1A3B"/>
    <w:rsid w:val="006C5DDD"/>
    <w:rsid w:val="006C7EF0"/>
    <w:rsid w:val="006C7FD3"/>
    <w:rsid w:val="006D4FC7"/>
    <w:rsid w:val="006DC922"/>
    <w:rsid w:val="006E0D43"/>
    <w:rsid w:val="006E1888"/>
    <w:rsid w:val="006E1B1A"/>
    <w:rsid w:val="006E1B8C"/>
    <w:rsid w:val="006E649C"/>
    <w:rsid w:val="006E77E6"/>
    <w:rsid w:val="006F032B"/>
    <w:rsid w:val="006F2C46"/>
    <w:rsid w:val="006F3563"/>
    <w:rsid w:val="006F3F97"/>
    <w:rsid w:val="006F5101"/>
    <w:rsid w:val="006F7A3E"/>
    <w:rsid w:val="0070186A"/>
    <w:rsid w:val="00704528"/>
    <w:rsid w:val="00705BF0"/>
    <w:rsid w:val="007077A4"/>
    <w:rsid w:val="00710DA8"/>
    <w:rsid w:val="007112C0"/>
    <w:rsid w:val="00711B0A"/>
    <w:rsid w:val="0071325C"/>
    <w:rsid w:val="007132DE"/>
    <w:rsid w:val="0071678E"/>
    <w:rsid w:val="007212AB"/>
    <w:rsid w:val="00722960"/>
    <w:rsid w:val="00725900"/>
    <w:rsid w:val="00726F7E"/>
    <w:rsid w:val="007273C3"/>
    <w:rsid w:val="0072794E"/>
    <w:rsid w:val="00733EA7"/>
    <w:rsid w:val="00735290"/>
    <w:rsid w:val="0073555B"/>
    <w:rsid w:val="00740E4D"/>
    <w:rsid w:val="0074274B"/>
    <w:rsid w:val="007477CF"/>
    <w:rsid w:val="00751521"/>
    <w:rsid w:val="00752EE7"/>
    <w:rsid w:val="00753B06"/>
    <w:rsid w:val="0075436D"/>
    <w:rsid w:val="00760FCD"/>
    <w:rsid w:val="007618E9"/>
    <w:rsid w:val="00764CAC"/>
    <w:rsid w:val="00767C40"/>
    <w:rsid w:val="007705FB"/>
    <w:rsid w:val="0077210A"/>
    <w:rsid w:val="00775374"/>
    <w:rsid w:val="00775E19"/>
    <w:rsid w:val="00775F63"/>
    <w:rsid w:val="007770F8"/>
    <w:rsid w:val="00782149"/>
    <w:rsid w:val="00782B11"/>
    <w:rsid w:val="00784354"/>
    <w:rsid w:val="0078664D"/>
    <w:rsid w:val="007917EC"/>
    <w:rsid w:val="007924C2"/>
    <w:rsid w:val="00794795"/>
    <w:rsid w:val="007961A2"/>
    <w:rsid w:val="0079630B"/>
    <w:rsid w:val="007A397B"/>
    <w:rsid w:val="007A56A1"/>
    <w:rsid w:val="007A59E3"/>
    <w:rsid w:val="007A6D63"/>
    <w:rsid w:val="007A750F"/>
    <w:rsid w:val="007B0008"/>
    <w:rsid w:val="007B1EC3"/>
    <w:rsid w:val="007B23F4"/>
    <w:rsid w:val="007B59A1"/>
    <w:rsid w:val="007B6AF7"/>
    <w:rsid w:val="007C2664"/>
    <w:rsid w:val="007C50B5"/>
    <w:rsid w:val="007C5C67"/>
    <w:rsid w:val="007D1348"/>
    <w:rsid w:val="007D1985"/>
    <w:rsid w:val="007D3BAE"/>
    <w:rsid w:val="007D46BB"/>
    <w:rsid w:val="007E0CDC"/>
    <w:rsid w:val="007E14D1"/>
    <w:rsid w:val="007E151D"/>
    <w:rsid w:val="007E2A5C"/>
    <w:rsid w:val="007F0DD3"/>
    <w:rsid w:val="007F2163"/>
    <w:rsid w:val="007F26D8"/>
    <w:rsid w:val="007F37CE"/>
    <w:rsid w:val="007F397F"/>
    <w:rsid w:val="007F4C8B"/>
    <w:rsid w:val="007F7AFC"/>
    <w:rsid w:val="00804DDA"/>
    <w:rsid w:val="00804F1B"/>
    <w:rsid w:val="0080538F"/>
    <w:rsid w:val="0080710A"/>
    <w:rsid w:val="00812750"/>
    <w:rsid w:val="008129B4"/>
    <w:rsid w:val="00823FBB"/>
    <w:rsid w:val="00827076"/>
    <w:rsid w:val="008312A8"/>
    <w:rsid w:val="0083365E"/>
    <w:rsid w:val="00835A95"/>
    <w:rsid w:val="00844F35"/>
    <w:rsid w:val="00850F12"/>
    <w:rsid w:val="008510EF"/>
    <w:rsid w:val="00852F16"/>
    <w:rsid w:val="00853218"/>
    <w:rsid w:val="0085329C"/>
    <w:rsid w:val="008553CE"/>
    <w:rsid w:val="00857D93"/>
    <w:rsid w:val="00861EFF"/>
    <w:rsid w:val="00862EC4"/>
    <w:rsid w:val="0086385E"/>
    <w:rsid w:val="00863D54"/>
    <w:rsid w:val="00867519"/>
    <w:rsid w:val="008723D5"/>
    <w:rsid w:val="008753DB"/>
    <w:rsid w:val="00875459"/>
    <w:rsid w:val="008819CC"/>
    <w:rsid w:val="008837FA"/>
    <w:rsid w:val="00884B24"/>
    <w:rsid w:val="00890C68"/>
    <w:rsid w:val="00890E65"/>
    <w:rsid w:val="00892B55"/>
    <w:rsid w:val="008941B0"/>
    <w:rsid w:val="00894259"/>
    <w:rsid w:val="00896B82"/>
    <w:rsid w:val="008A0EF0"/>
    <w:rsid w:val="008A67DC"/>
    <w:rsid w:val="008B11DA"/>
    <w:rsid w:val="008B3429"/>
    <w:rsid w:val="008B46DE"/>
    <w:rsid w:val="008C028E"/>
    <w:rsid w:val="008C037E"/>
    <w:rsid w:val="008C1EAE"/>
    <w:rsid w:val="008C31CA"/>
    <w:rsid w:val="008C33C2"/>
    <w:rsid w:val="008C5A95"/>
    <w:rsid w:val="008C5BDC"/>
    <w:rsid w:val="008C7364"/>
    <w:rsid w:val="008C7C86"/>
    <w:rsid w:val="008D1555"/>
    <w:rsid w:val="008D769C"/>
    <w:rsid w:val="008D7A61"/>
    <w:rsid w:val="008E5503"/>
    <w:rsid w:val="008E6C29"/>
    <w:rsid w:val="008F192B"/>
    <w:rsid w:val="008F7FD7"/>
    <w:rsid w:val="009014F3"/>
    <w:rsid w:val="009050E2"/>
    <w:rsid w:val="009059CE"/>
    <w:rsid w:val="00910549"/>
    <w:rsid w:val="00912C76"/>
    <w:rsid w:val="00913882"/>
    <w:rsid w:val="00913B84"/>
    <w:rsid w:val="00913FAD"/>
    <w:rsid w:val="00921BEA"/>
    <w:rsid w:val="00922AD5"/>
    <w:rsid w:val="00923388"/>
    <w:rsid w:val="0092454A"/>
    <w:rsid w:val="009267B1"/>
    <w:rsid w:val="00926AC8"/>
    <w:rsid w:val="0093039E"/>
    <w:rsid w:val="00931904"/>
    <w:rsid w:val="00932AB7"/>
    <w:rsid w:val="009334A7"/>
    <w:rsid w:val="0093357A"/>
    <w:rsid w:val="00933745"/>
    <w:rsid w:val="009337A1"/>
    <w:rsid w:val="00933B75"/>
    <w:rsid w:val="009342F4"/>
    <w:rsid w:val="009430CB"/>
    <w:rsid w:val="00946865"/>
    <w:rsid w:val="00946B83"/>
    <w:rsid w:val="00947922"/>
    <w:rsid w:val="00953812"/>
    <w:rsid w:val="0095438B"/>
    <w:rsid w:val="009570FC"/>
    <w:rsid w:val="00957598"/>
    <w:rsid w:val="00957B14"/>
    <w:rsid w:val="00966258"/>
    <w:rsid w:val="00966491"/>
    <w:rsid w:val="00970D18"/>
    <w:rsid w:val="00972563"/>
    <w:rsid w:val="009728F1"/>
    <w:rsid w:val="00975E8B"/>
    <w:rsid w:val="00977210"/>
    <w:rsid w:val="00984766"/>
    <w:rsid w:val="00984AD2"/>
    <w:rsid w:val="00992736"/>
    <w:rsid w:val="00995B41"/>
    <w:rsid w:val="00996861"/>
    <w:rsid w:val="0099699B"/>
    <w:rsid w:val="00996FE3"/>
    <w:rsid w:val="00997089"/>
    <w:rsid w:val="009A1010"/>
    <w:rsid w:val="009A2379"/>
    <w:rsid w:val="009A285C"/>
    <w:rsid w:val="009A3281"/>
    <w:rsid w:val="009A4174"/>
    <w:rsid w:val="009A46B0"/>
    <w:rsid w:val="009A4B8F"/>
    <w:rsid w:val="009A7A05"/>
    <w:rsid w:val="009B3C3D"/>
    <w:rsid w:val="009B7077"/>
    <w:rsid w:val="009B7C7C"/>
    <w:rsid w:val="009C7EB9"/>
    <w:rsid w:val="009D0B2C"/>
    <w:rsid w:val="009D1D5B"/>
    <w:rsid w:val="009E030B"/>
    <w:rsid w:val="009E25FA"/>
    <w:rsid w:val="009E63ED"/>
    <w:rsid w:val="009E6606"/>
    <w:rsid w:val="009F197E"/>
    <w:rsid w:val="009F2584"/>
    <w:rsid w:val="009F59EB"/>
    <w:rsid w:val="009F621D"/>
    <w:rsid w:val="00A0160E"/>
    <w:rsid w:val="00A019E7"/>
    <w:rsid w:val="00A01EB3"/>
    <w:rsid w:val="00A036EE"/>
    <w:rsid w:val="00A04B98"/>
    <w:rsid w:val="00A04C28"/>
    <w:rsid w:val="00A05160"/>
    <w:rsid w:val="00A05F16"/>
    <w:rsid w:val="00A07A9F"/>
    <w:rsid w:val="00A123EE"/>
    <w:rsid w:val="00A12CF6"/>
    <w:rsid w:val="00A14618"/>
    <w:rsid w:val="00A14ABC"/>
    <w:rsid w:val="00A15C2A"/>
    <w:rsid w:val="00A176D5"/>
    <w:rsid w:val="00A20F27"/>
    <w:rsid w:val="00A217A1"/>
    <w:rsid w:val="00A22C20"/>
    <w:rsid w:val="00A25AEB"/>
    <w:rsid w:val="00A30356"/>
    <w:rsid w:val="00A31AEB"/>
    <w:rsid w:val="00A33342"/>
    <w:rsid w:val="00A3460B"/>
    <w:rsid w:val="00A37A34"/>
    <w:rsid w:val="00A37BC5"/>
    <w:rsid w:val="00A41C5E"/>
    <w:rsid w:val="00A42964"/>
    <w:rsid w:val="00A42E32"/>
    <w:rsid w:val="00A4566F"/>
    <w:rsid w:val="00A51F19"/>
    <w:rsid w:val="00A53221"/>
    <w:rsid w:val="00A5341A"/>
    <w:rsid w:val="00A5377D"/>
    <w:rsid w:val="00A54F05"/>
    <w:rsid w:val="00A57612"/>
    <w:rsid w:val="00A60BD0"/>
    <w:rsid w:val="00A61E3F"/>
    <w:rsid w:val="00A65F57"/>
    <w:rsid w:val="00A66A77"/>
    <w:rsid w:val="00A725A3"/>
    <w:rsid w:val="00A733EC"/>
    <w:rsid w:val="00A74E93"/>
    <w:rsid w:val="00A751CC"/>
    <w:rsid w:val="00A75665"/>
    <w:rsid w:val="00A829E2"/>
    <w:rsid w:val="00A844EC"/>
    <w:rsid w:val="00A85A7F"/>
    <w:rsid w:val="00A87789"/>
    <w:rsid w:val="00A95991"/>
    <w:rsid w:val="00A9635A"/>
    <w:rsid w:val="00A974A1"/>
    <w:rsid w:val="00A97905"/>
    <w:rsid w:val="00AA35FE"/>
    <w:rsid w:val="00AA4EB3"/>
    <w:rsid w:val="00AA5730"/>
    <w:rsid w:val="00AA5FBC"/>
    <w:rsid w:val="00AA6462"/>
    <w:rsid w:val="00AB3334"/>
    <w:rsid w:val="00AB3CBB"/>
    <w:rsid w:val="00AB5B95"/>
    <w:rsid w:val="00AB7021"/>
    <w:rsid w:val="00AC0CAA"/>
    <w:rsid w:val="00AC3AFC"/>
    <w:rsid w:val="00AC5848"/>
    <w:rsid w:val="00AC5CD1"/>
    <w:rsid w:val="00AD5269"/>
    <w:rsid w:val="00AD5DBB"/>
    <w:rsid w:val="00AE1B4B"/>
    <w:rsid w:val="00AE2743"/>
    <w:rsid w:val="00AE3832"/>
    <w:rsid w:val="00AE5701"/>
    <w:rsid w:val="00AE66FB"/>
    <w:rsid w:val="00AE7E09"/>
    <w:rsid w:val="00AF1621"/>
    <w:rsid w:val="00AF2911"/>
    <w:rsid w:val="00AF2DD4"/>
    <w:rsid w:val="00AF41DF"/>
    <w:rsid w:val="00AF50A8"/>
    <w:rsid w:val="00B02AF5"/>
    <w:rsid w:val="00B05CFE"/>
    <w:rsid w:val="00B11A2C"/>
    <w:rsid w:val="00B126FF"/>
    <w:rsid w:val="00B149E5"/>
    <w:rsid w:val="00B163B5"/>
    <w:rsid w:val="00B216F1"/>
    <w:rsid w:val="00B21C24"/>
    <w:rsid w:val="00B21CC8"/>
    <w:rsid w:val="00B24FA3"/>
    <w:rsid w:val="00B27B08"/>
    <w:rsid w:val="00B314F6"/>
    <w:rsid w:val="00B3311A"/>
    <w:rsid w:val="00B357E7"/>
    <w:rsid w:val="00B35B16"/>
    <w:rsid w:val="00B45731"/>
    <w:rsid w:val="00B4576B"/>
    <w:rsid w:val="00B45936"/>
    <w:rsid w:val="00B4726B"/>
    <w:rsid w:val="00B47D90"/>
    <w:rsid w:val="00B50016"/>
    <w:rsid w:val="00B5050F"/>
    <w:rsid w:val="00B51C17"/>
    <w:rsid w:val="00B52B8A"/>
    <w:rsid w:val="00B537F5"/>
    <w:rsid w:val="00B546BA"/>
    <w:rsid w:val="00B55999"/>
    <w:rsid w:val="00B60C07"/>
    <w:rsid w:val="00B634B6"/>
    <w:rsid w:val="00B64D9D"/>
    <w:rsid w:val="00B6754B"/>
    <w:rsid w:val="00B67D43"/>
    <w:rsid w:val="00B75FEC"/>
    <w:rsid w:val="00B8005C"/>
    <w:rsid w:val="00B80B9B"/>
    <w:rsid w:val="00B81A39"/>
    <w:rsid w:val="00B81E58"/>
    <w:rsid w:val="00B83462"/>
    <w:rsid w:val="00B834AF"/>
    <w:rsid w:val="00B84560"/>
    <w:rsid w:val="00B84ACA"/>
    <w:rsid w:val="00B84EBA"/>
    <w:rsid w:val="00B901E8"/>
    <w:rsid w:val="00B9238C"/>
    <w:rsid w:val="00B93215"/>
    <w:rsid w:val="00B93D69"/>
    <w:rsid w:val="00B94DDB"/>
    <w:rsid w:val="00B94E26"/>
    <w:rsid w:val="00B9681D"/>
    <w:rsid w:val="00BA02B9"/>
    <w:rsid w:val="00BA28B5"/>
    <w:rsid w:val="00BA43B5"/>
    <w:rsid w:val="00BA4D89"/>
    <w:rsid w:val="00BA7145"/>
    <w:rsid w:val="00BA7544"/>
    <w:rsid w:val="00BB3CA1"/>
    <w:rsid w:val="00BB4D6B"/>
    <w:rsid w:val="00BB4D82"/>
    <w:rsid w:val="00BC0B7A"/>
    <w:rsid w:val="00BC1212"/>
    <w:rsid w:val="00BC17FC"/>
    <w:rsid w:val="00BC338B"/>
    <w:rsid w:val="00BC3F77"/>
    <w:rsid w:val="00BC49B5"/>
    <w:rsid w:val="00BC4E1E"/>
    <w:rsid w:val="00BD1B0C"/>
    <w:rsid w:val="00BD1DEE"/>
    <w:rsid w:val="00BD4A70"/>
    <w:rsid w:val="00BD602F"/>
    <w:rsid w:val="00BE2C44"/>
    <w:rsid w:val="00BE79AE"/>
    <w:rsid w:val="00BF17AF"/>
    <w:rsid w:val="00BF634D"/>
    <w:rsid w:val="00BF72E6"/>
    <w:rsid w:val="00C02ED9"/>
    <w:rsid w:val="00C04009"/>
    <w:rsid w:val="00C04663"/>
    <w:rsid w:val="00C05474"/>
    <w:rsid w:val="00C05CB9"/>
    <w:rsid w:val="00C06065"/>
    <w:rsid w:val="00C06732"/>
    <w:rsid w:val="00C07CE6"/>
    <w:rsid w:val="00C1190C"/>
    <w:rsid w:val="00C12990"/>
    <w:rsid w:val="00C27631"/>
    <w:rsid w:val="00C31DB5"/>
    <w:rsid w:val="00C31FA0"/>
    <w:rsid w:val="00C363EA"/>
    <w:rsid w:val="00C374CA"/>
    <w:rsid w:val="00C37CA8"/>
    <w:rsid w:val="00C404C4"/>
    <w:rsid w:val="00C40CA9"/>
    <w:rsid w:val="00C436A7"/>
    <w:rsid w:val="00C43EB7"/>
    <w:rsid w:val="00C46062"/>
    <w:rsid w:val="00C50A7E"/>
    <w:rsid w:val="00C51B5A"/>
    <w:rsid w:val="00C52708"/>
    <w:rsid w:val="00C54702"/>
    <w:rsid w:val="00C571F3"/>
    <w:rsid w:val="00C606DD"/>
    <w:rsid w:val="00C617CA"/>
    <w:rsid w:val="00C62A1C"/>
    <w:rsid w:val="00C6444E"/>
    <w:rsid w:val="00C65429"/>
    <w:rsid w:val="00C70DC1"/>
    <w:rsid w:val="00C7782F"/>
    <w:rsid w:val="00C8020A"/>
    <w:rsid w:val="00C80BB8"/>
    <w:rsid w:val="00C80C1E"/>
    <w:rsid w:val="00C81792"/>
    <w:rsid w:val="00C81A9F"/>
    <w:rsid w:val="00C83267"/>
    <w:rsid w:val="00C84DF9"/>
    <w:rsid w:val="00C85229"/>
    <w:rsid w:val="00C86B84"/>
    <w:rsid w:val="00C9446F"/>
    <w:rsid w:val="00C94C5A"/>
    <w:rsid w:val="00C94E77"/>
    <w:rsid w:val="00C9734A"/>
    <w:rsid w:val="00CA245A"/>
    <w:rsid w:val="00CA376A"/>
    <w:rsid w:val="00CA5C13"/>
    <w:rsid w:val="00CA7FB6"/>
    <w:rsid w:val="00CB048D"/>
    <w:rsid w:val="00CB468C"/>
    <w:rsid w:val="00CB4EFC"/>
    <w:rsid w:val="00CB6393"/>
    <w:rsid w:val="00CB7BB0"/>
    <w:rsid w:val="00CB7D5A"/>
    <w:rsid w:val="00CC31F7"/>
    <w:rsid w:val="00CC4596"/>
    <w:rsid w:val="00CC7D62"/>
    <w:rsid w:val="00CD07F8"/>
    <w:rsid w:val="00CD57C5"/>
    <w:rsid w:val="00CD596C"/>
    <w:rsid w:val="00CD65B0"/>
    <w:rsid w:val="00CD7838"/>
    <w:rsid w:val="00CE05FE"/>
    <w:rsid w:val="00CE08BC"/>
    <w:rsid w:val="00CE1BCA"/>
    <w:rsid w:val="00CE69D7"/>
    <w:rsid w:val="00CE7C1D"/>
    <w:rsid w:val="00CF5D89"/>
    <w:rsid w:val="00D10311"/>
    <w:rsid w:val="00D23B0C"/>
    <w:rsid w:val="00D24A31"/>
    <w:rsid w:val="00D256E2"/>
    <w:rsid w:val="00D2764A"/>
    <w:rsid w:val="00D30C2D"/>
    <w:rsid w:val="00D31797"/>
    <w:rsid w:val="00D336C8"/>
    <w:rsid w:val="00D354CE"/>
    <w:rsid w:val="00D35848"/>
    <w:rsid w:val="00D40B83"/>
    <w:rsid w:val="00D45733"/>
    <w:rsid w:val="00D45AE8"/>
    <w:rsid w:val="00D5218B"/>
    <w:rsid w:val="00D52A78"/>
    <w:rsid w:val="00D55F85"/>
    <w:rsid w:val="00D603AB"/>
    <w:rsid w:val="00D60785"/>
    <w:rsid w:val="00D60CAB"/>
    <w:rsid w:val="00D61D30"/>
    <w:rsid w:val="00D6618B"/>
    <w:rsid w:val="00D7010D"/>
    <w:rsid w:val="00D70BE9"/>
    <w:rsid w:val="00D718F0"/>
    <w:rsid w:val="00D7500A"/>
    <w:rsid w:val="00D761BF"/>
    <w:rsid w:val="00D77052"/>
    <w:rsid w:val="00D77FB6"/>
    <w:rsid w:val="00D842FE"/>
    <w:rsid w:val="00D85CC4"/>
    <w:rsid w:val="00D86777"/>
    <w:rsid w:val="00D94C47"/>
    <w:rsid w:val="00D95801"/>
    <w:rsid w:val="00D9620D"/>
    <w:rsid w:val="00D967C4"/>
    <w:rsid w:val="00DA0B24"/>
    <w:rsid w:val="00DA1C49"/>
    <w:rsid w:val="00DA1D3A"/>
    <w:rsid w:val="00DA2182"/>
    <w:rsid w:val="00DA27E0"/>
    <w:rsid w:val="00DA3836"/>
    <w:rsid w:val="00DA5573"/>
    <w:rsid w:val="00DA565C"/>
    <w:rsid w:val="00DB449E"/>
    <w:rsid w:val="00DB4884"/>
    <w:rsid w:val="00DC1853"/>
    <w:rsid w:val="00DC1F44"/>
    <w:rsid w:val="00DC25EB"/>
    <w:rsid w:val="00DC6D2A"/>
    <w:rsid w:val="00DC7276"/>
    <w:rsid w:val="00DD12F2"/>
    <w:rsid w:val="00DD2F0C"/>
    <w:rsid w:val="00DD31D4"/>
    <w:rsid w:val="00DD4FBA"/>
    <w:rsid w:val="00DE0BA4"/>
    <w:rsid w:val="00DE1D08"/>
    <w:rsid w:val="00DE2500"/>
    <w:rsid w:val="00DE38DF"/>
    <w:rsid w:val="00DE43AA"/>
    <w:rsid w:val="00DE7010"/>
    <w:rsid w:val="00DF01B8"/>
    <w:rsid w:val="00DF2371"/>
    <w:rsid w:val="00DF2FF0"/>
    <w:rsid w:val="00DF71CD"/>
    <w:rsid w:val="00E00D57"/>
    <w:rsid w:val="00E03592"/>
    <w:rsid w:val="00E04A8A"/>
    <w:rsid w:val="00E05D68"/>
    <w:rsid w:val="00E068BA"/>
    <w:rsid w:val="00E07053"/>
    <w:rsid w:val="00E105C0"/>
    <w:rsid w:val="00E12346"/>
    <w:rsid w:val="00E12B57"/>
    <w:rsid w:val="00E12E2A"/>
    <w:rsid w:val="00E14796"/>
    <w:rsid w:val="00E175F8"/>
    <w:rsid w:val="00E21387"/>
    <w:rsid w:val="00E274FE"/>
    <w:rsid w:val="00E317EF"/>
    <w:rsid w:val="00E366DF"/>
    <w:rsid w:val="00E37676"/>
    <w:rsid w:val="00E42B8F"/>
    <w:rsid w:val="00E43134"/>
    <w:rsid w:val="00E43C0A"/>
    <w:rsid w:val="00E44898"/>
    <w:rsid w:val="00E44EEE"/>
    <w:rsid w:val="00E528B3"/>
    <w:rsid w:val="00E55B48"/>
    <w:rsid w:val="00E56DEF"/>
    <w:rsid w:val="00E61E69"/>
    <w:rsid w:val="00E64F29"/>
    <w:rsid w:val="00E674AA"/>
    <w:rsid w:val="00E67CDD"/>
    <w:rsid w:val="00E70D40"/>
    <w:rsid w:val="00E712D8"/>
    <w:rsid w:val="00E72E55"/>
    <w:rsid w:val="00E83A00"/>
    <w:rsid w:val="00E84D92"/>
    <w:rsid w:val="00E86314"/>
    <w:rsid w:val="00E87019"/>
    <w:rsid w:val="00E8727B"/>
    <w:rsid w:val="00E8750D"/>
    <w:rsid w:val="00E90C44"/>
    <w:rsid w:val="00E914FC"/>
    <w:rsid w:val="00E91EF8"/>
    <w:rsid w:val="00E94504"/>
    <w:rsid w:val="00EA0571"/>
    <w:rsid w:val="00EA1FEA"/>
    <w:rsid w:val="00EA5647"/>
    <w:rsid w:val="00EA6D30"/>
    <w:rsid w:val="00EB0E83"/>
    <w:rsid w:val="00EB218C"/>
    <w:rsid w:val="00EB38B4"/>
    <w:rsid w:val="00EB784A"/>
    <w:rsid w:val="00EC1813"/>
    <w:rsid w:val="00EC3415"/>
    <w:rsid w:val="00EC41D5"/>
    <w:rsid w:val="00EC5464"/>
    <w:rsid w:val="00EC619A"/>
    <w:rsid w:val="00ED1439"/>
    <w:rsid w:val="00ED1AAE"/>
    <w:rsid w:val="00ED29E1"/>
    <w:rsid w:val="00ED30C8"/>
    <w:rsid w:val="00ED41E0"/>
    <w:rsid w:val="00ED797C"/>
    <w:rsid w:val="00EE40FD"/>
    <w:rsid w:val="00EE6F55"/>
    <w:rsid w:val="00EE77FD"/>
    <w:rsid w:val="00EF0BF5"/>
    <w:rsid w:val="00EF4433"/>
    <w:rsid w:val="00EF7096"/>
    <w:rsid w:val="00EF7467"/>
    <w:rsid w:val="00F00A08"/>
    <w:rsid w:val="00F00B20"/>
    <w:rsid w:val="00F025DD"/>
    <w:rsid w:val="00F13C9E"/>
    <w:rsid w:val="00F1783A"/>
    <w:rsid w:val="00F20FE8"/>
    <w:rsid w:val="00F22AC1"/>
    <w:rsid w:val="00F23A99"/>
    <w:rsid w:val="00F31DAF"/>
    <w:rsid w:val="00F356F4"/>
    <w:rsid w:val="00F37C93"/>
    <w:rsid w:val="00F40860"/>
    <w:rsid w:val="00F534D4"/>
    <w:rsid w:val="00F5474F"/>
    <w:rsid w:val="00F5587D"/>
    <w:rsid w:val="00F558BA"/>
    <w:rsid w:val="00F656E1"/>
    <w:rsid w:val="00F656E2"/>
    <w:rsid w:val="00F7234B"/>
    <w:rsid w:val="00F7431F"/>
    <w:rsid w:val="00F771C0"/>
    <w:rsid w:val="00F82748"/>
    <w:rsid w:val="00F84F06"/>
    <w:rsid w:val="00F87CA8"/>
    <w:rsid w:val="00F87F58"/>
    <w:rsid w:val="00F91EC9"/>
    <w:rsid w:val="00F934D7"/>
    <w:rsid w:val="00F9386E"/>
    <w:rsid w:val="00F939E9"/>
    <w:rsid w:val="00FA06D2"/>
    <w:rsid w:val="00FA1478"/>
    <w:rsid w:val="00FA31FA"/>
    <w:rsid w:val="00FA6A20"/>
    <w:rsid w:val="00FA75D9"/>
    <w:rsid w:val="00FA7FC7"/>
    <w:rsid w:val="00FB09AD"/>
    <w:rsid w:val="00FB0FCB"/>
    <w:rsid w:val="00FB2A21"/>
    <w:rsid w:val="00FB5A9F"/>
    <w:rsid w:val="00FB623B"/>
    <w:rsid w:val="00FC36C1"/>
    <w:rsid w:val="00FC6870"/>
    <w:rsid w:val="00FC6E58"/>
    <w:rsid w:val="00FD0405"/>
    <w:rsid w:val="00FD2A5F"/>
    <w:rsid w:val="00FD2A8A"/>
    <w:rsid w:val="00FD5232"/>
    <w:rsid w:val="00FD56B9"/>
    <w:rsid w:val="00FD6229"/>
    <w:rsid w:val="00FE2CEE"/>
    <w:rsid w:val="00FE3962"/>
    <w:rsid w:val="00FE3AD7"/>
    <w:rsid w:val="00FE5445"/>
    <w:rsid w:val="00FE5824"/>
    <w:rsid w:val="00FF02AB"/>
    <w:rsid w:val="00FF2D76"/>
    <w:rsid w:val="00FF35E3"/>
    <w:rsid w:val="00FF47F5"/>
    <w:rsid w:val="00FF74A0"/>
    <w:rsid w:val="0171997E"/>
    <w:rsid w:val="01F46E3F"/>
    <w:rsid w:val="024303D0"/>
    <w:rsid w:val="02BC9F00"/>
    <w:rsid w:val="02F2A614"/>
    <w:rsid w:val="03B7F325"/>
    <w:rsid w:val="03BD3202"/>
    <w:rsid w:val="05095D71"/>
    <w:rsid w:val="050A4243"/>
    <w:rsid w:val="054C1191"/>
    <w:rsid w:val="057C338C"/>
    <w:rsid w:val="05DE33FB"/>
    <w:rsid w:val="05F611C0"/>
    <w:rsid w:val="0679DEEC"/>
    <w:rsid w:val="06AF445D"/>
    <w:rsid w:val="06C51992"/>
    <w:rsid w:val="06C6CD0A"/>
    <w:rsid w:val="074E037F"/>
    <w:rsid w:val="0859F5F2"/>
    <w:rsid w:val="0948C787"/>
    <w:rsid w:val="097EFB2B"/>
    <w:rsid w:val="099CA6D1"/>
    <w:rsid w:val="09A62D4C"/>
    <w:rsid w:val="09A6BD07"/>
    <w:rsid w:val="09F11AAF"/>
    <w:rsid w:val="09FA4530"/>
    <w:rsid w:val="0A134B29"/>
    <w:rsid w:val="0A4D946F"/>
    <w:rsid w:val="0A97B4C8"/>
    <w:rsid w:val="0AC36F4C"/>
    <w:rsid w:val="0B81F874"/>
    <w:rsid w:val="0C11121A"/>
    <w:rsid w:val="0C946532"/>
    <w:rsid w:val="0CB379AB"/>
    <w:rsid w:val="0CDBFD47"/>
    <w:rsid w:val="0CE1358F"/>
    <w:rsid w:val="0CEB397D"/>
    <w:rsid w:val="0D4E9DC3"/>
    <w:rsid w:val="0D51DC57"/>
    <w:rsid w:val="0D61847F"/>
    <w:rsid w:val="0D674203"/>
    <w:rsid w:val="0DC6D032"/>
    <w:rsid w:val="0E7DB009"/>
    <w:rsid w:val="0EA861AE"/>
    <w:rsid w:val="0ECEC2DF"/>
    <w:rsid w:val="0F454609"/>
    <w:rsid w:val="0F66AFBD"/>
    <w:rsid w:val="0F7864DF"/>
    <w:rsid w:val="0FA32997"/>
    <w:rsid w:val="0FD95C04"/>
    <w:rsid w:val="10A899C3"/>
    <w:rsid w:val="11011533"/>
    <w:rsid w:val="11573D8E"/>
    <w:rsid w:val="1157A540"/>
    <w:rsid w:val="1193E2C5"/>
    <w:rsid w:val="11C93537"/>
    <w:rsid w:val="11E94030"/>
    <w:rsid w:val="132688D6"/>
    <w:rsid w:val="133598CC"/>
    <w:rsid w:val="13C685BD"/>
    <w:rsid w:val="13F3224F"/>
    <w:rsid w:val="145D264F"/>
    <w:rsid w:val="150FD7F1"/>
    <w:rsid w:val="154A7084"/>
    <w:rsid w:val="15534722"/>
    <w:rsid w:val="15681866"/>
    <w:rsid w:val="169814A2"/>
    <w:rsid w:val="16FC0D7E"/>
    <w:rsid w:val="1707ECB9"/>
    <w:rsid w:val="1741EF4A"/>
    <w:rsid w:val="182E0352"/>
    <w:rsid w:val="192042BE"/>
    <w:rsid w:val="196255F9"/>
    <w:rsid w:val="19936F2E"/>
    <w:rsid w:val="1A21B43E"/>
    <w:rsid w:val="1A406C41"/>
    <w:rsid w:val="1A449583"/>
    <w:rsid w:val="1A9A3474"/>
    <w:rsid w:val="1ADF2B63"/>
    <w:rsid w:val="1B998638"/>
    <w:rsid w:val="1B9C6F7F"/>
    <w:rsid w:val="1BB0E82D"/>
    <w:rsid w:val="1BD197A2"/>
    <w:rsid w:val="1C0A4C26"/>
    <w:rsid w:val="1C1F0159"/>
    <w:rsid w:val="1C6EBA90"/>
    <w:rsid w:val="1C803E97"/>
    <w:rsid w:val="1CE56BE3"/>
    <w:rsid w:val="1D2C4D5D"/>
    <w:rsid w:val="1DC07D72"/>
    <w:rsid w:val="1DCFB600"/>
    <w:rsid w:val="1E10B014"/>
    <w:rsid w:val="1F3FACBE"/>
    <w:rsid w:val="1F559415"/>
    <w:rsid w:val="20AD68B4"/>
    <w:rsid w:val="20C2142E"/>
    <w:rsid w:val="20E3043B"/>
    <w:rsid w:val="21A1811C"/>
    <w:rsid w:val="21E66E6E"/>
    <w:rsid w:val="21F04A65"/>
    <w:rsid w:val="21F75C72"/>
    <w:rsid w:val="226D446B"/>
    <w:rsid w:val="229E231C"/>
    <w:rsid w:val="22B078F5"/>
    <w:rsid w:val="22BCDB1F"/>
    <w:rsid w:val="2334E229"/>
    <w:rsid w:val="23CD9E1F"/>
    <w:rsid w:val="24122A6C"/>
    <w:rsid w:val="242D7495"/>
    <w:rsid w:val="2435CB8D"/>
    <w:rsid w:val="2469CCCC"/>
    <w:rsid w:val="24820283"/>
    <w:rsid w:val="24D85054"/>
    <w:rsid w:val="24E0DB16"/>
    <w:rsid w:val="250120F2"/>
    <w:rsid w:val="255F518B"/>
    <w:rsid w:val="256D4603"/>
    <w:rsid w:val="258222C9"/>
    <w:rsid w:val="2595CB3E"/>
    <w:rsid w:val="263E9C7E"/>
    <w:rsid w:val="26545B01"/>
    <w:rsid w:val="26556751"/>
    <w:rsid w:val="26DCC6B7"/>
    <w:rsid w:val="27750DF8"/>
    <w:rsid w:val="27B5C1E0"/>
    <w:rsid w:val="27C150B1"/>
    <w:rsid w:val="28024326"/>
    <w:rsid w:val="284B1831"/>
    <w:rsid w:val="28C03DCE"/>
    <w:rsid w:val="28C92B2F"/>
    <w:rsid w:val="29D9BD9B"/>
    <w:rsid w:val="2A1671E2"/>
    <w:rsid w:val="2A316C1F"/>
    <w:rsid w:val="2A4DEDB0"/>
    <w:rsid w:val="2AFB03CC"/>
    <w:rsid w:val="2AFE42E4"/>
    <w:rsid w:val="2B180E1D"/>
    <w:rsid w:val="2BD68161"/>
    <w:rsid w:val="2BEBAA93"/>
    <w:rsid w:val="2C1BE9ED"/>
    <w:rsid w:val="2CEB1705"/>
    <w:rsid w:val="2CFD590C"/>
    <w:rsid w:val="2D99E696"/>
    <w:rsid w:val="2DB71050"/>
    <w:rsid w:val="2E705347"/>
    <w:rsid w:val="2E84DE69"/>
    <w:rsid w:val="2E8AB299"/>
    <w:rsid w:val="2EB43415"/>
    <w:rsid w:val="2EE3DC72"/>
    <w:rsid w:val="2EF7EB85"/>
    <w:rsid w:val="2EFA4125"/>
    <w:rsid w:val="2F84AB7E"/>
    <w:rsid w:val="30E5095E"/>
    <w:rsid w:val="3175AF28"/>
    <w:rsid w:val="3189EC76"/>
    <w:rsid w:val="3195C725"/>
    <w:rsid w:val="31CB0C3C"/>
    <w:rsid w:val="3245C219"/>
    <w:rsid w:val="3246BD29"/>
    <w:rsid w:val="32BBB4C8"/>
    <w:rsid w:val="331C8864"/>
    <w:rsid w:val="33FE5EDA"/>
    <w:rsid w:val="3452F03F"/>
    <w:rsid w:val="34B02DD4"/>
    <w:rsid w:val="3526271D"/>
    <w:rsid w:val="356FDB9D"/>
    <w:rsid w:val="35C81C12"/>
    <w:rsid w:val="3621DE30"/>
    <w:rsid w:val="36693848"/>
    <w:rsid w:val="36779AC2"/>
    <w:rsid w:val="367955EC"/>
    <w:rsid w:val="3679AFCF"/>
    <w:rsid w:val="370742BE"/>
    <w:rsid w:val="3756D4ED"/>
    <w:rsid w:val="37AD3497"/>
    <w:rsid w:val="37D662F1"/>
    <w:rsid w:val="37F02C58"/>
    <w:rsid w:val="380BAB26"/>
    <w:rsid w:val="380F7AF8"/>
    <w:rsid w:val="38A55D29"/>
    <w:rsid w:val="38C55022"/>
    <w:rsid w:val="38EC24F1"/>
    <w:rsid w:val="396730BF"/>
    <w:rsid w:val="3A028F8F"/>
    <w:rsid w:val="3A28FD81"/>
    <w:rsid w:val="3A618FFC"/>
    <w:rsid w:val="3A80BBCB"/>
    <w:rsid w:val="3A904B4E"/>
    <w:rsid w:val="3A9CDB10"/>
    <w:rsid w:val="3A9E2329"/>
    <w:rsid w:val="3AB1FE25"/>
    <w:rsid w:val="3AC6AED9"/>
    <w:rsid w:val="3B1CB17F"/>
    <w:rsid w:val="3B76A52D"/>
    <w:rsid w:val="3B8069A2"/>
    <w:rsid w:val="3BA555E7"/>
    <w:rsid w:val="3C2A88F4"/>
    <w:rsid w:val="3C79E2F7"/>
    <w:rsid w:val="3CA132E4"/>
    <w:rsid w:val="3D205111"/>
    <w:rsid w:val="3D5621FC"/>
    <w:rsid w:val="3D731494"/>
    <w:rsid w:val="3D8617AC"/>
    <w:rsid w:val="3EFFE010"/>
    <w:rsid w:val="3F167AF4"/>
    <w:rsid w:val="3F8FF77B"/>
    <w:rsid w:val="3FA52BC7"/>
    <w:rsid w:val="3FC78D32"/>
    <w:rsid w:val="400B184E"/>
    <w:rsid w:val="4038CA4F"/>
    <w:rsid w:val="404EF774"/>
    <w:rsid w:val="40C4E221"/>
    <w:rsid w:val="40DC4F2A"/>
    <w:rsid w:val="40E7C23A"/>
    <w:rsid w:val="41147F99"/>
    <w:rsid w:val="412353C5"/>
    <w:rsid w:val="4123FBBA"/>
    <w:rsid w:val="41369D4B"/>
    <w:rsid w:val="4147E613"/>
    <w:rsid w:val="41741D98"/>
    <w:rsid w:val="426E826A"/>
    <w:rsid w:val="427AFDA1"/>
    <w:rsid w:val="42FD95CF"/>
    <w:rsid w:val="433AE617"/>
    <w:rsid w:val="4376A6FE"/>
    <w:rsid w:val="440E6306"/>
    <w:rsid w:val="44267760"/>
    <w:rsid w:val="44420CF3"/>
    <w:rsid w:val="4487A097"/>
    <w:rsid w:val="44F10A0C"/>
    <w:rsid w:val="4509344C"/>
    <w:rsid w:val="4589B081"/>
    <w:rsid w:val="4602868A"/>
    <w:rsid w:val="46290099"/>
    <w:rsid w:val="4643354E"/>
    <w:rsid w:val="46587774"/>
    <w:rsid w:val="465E106C"/>
    <w:rsid w:val="4672B159"/>
    <w:rsid w:val="46B46D7B"/>
    <w:rsid w:val="46BEC3D8"/>
    <w:rsid w:val="46D759E9"/>
    <w:rsid w:val="471AB5C9"/>
    <w:rsid w:val="4768404C"/>
    <w:rsid w:val="478538E1"/>
    <w:rsid w:val="47AF48F5"/>
    <w:rsid w:val="47F349C6"/>
    <w:rsid w:val="4835EC2A"/>
    <w:rsid w:val="48F0A245"/>
    <w:rsid w:val="4924BE90"/>
    <w:rsid w:val="4935FF41"/>
    <w:rsid w:val="49912FF7"/>
    <w:rsid w:val="4A08749E"/>
    <w:rsid w:val="4A7EB3A1"/>
    <w:rsid w:val="4ABC4214"/>
    <w:rsid w:val="4AF77F2D"/>
    <w:rsid w:val="4B0494D6"/>
    <w:rsid w:val="4B1366B8"/>
    <w:rsid w:val="4B52EC48"/>
    <w:rsid w:val="4BDE4498"/>
    <w:rsid w:val="4BF315DC"/>
    <w:rsid w:val="4C05BC86"/>
    <w:rsid w:val="4CADC413"/>
    <w:rsid w:val="4D3CB73E"/>
    <w:rsid w:val="4DA18CE7"/>
    <w:rsid w:val="4DF0A7CF"/>
    <w:rsid w:val="4E384DA0"/>
    <w:rsid w:val="4E716BB9"/>
    <w:rsid w:val="4F814440"/>
    <w:rsid w:val="4F87268F"/>
    <w:rsid w:val="4FD0F9F6"/>
    <w:rsid w:val="50038F5E"/>
    <w:rsid w:val="50150381"/>
    <w:rsid w:val="50669728"/>
    <w:rsid w:val="50B12DBC"/>
    <w:rsid w:val="50D3CBF4"/>
    <w:rsid w:val="5100D8EE"/>
    <w:rsid w:val="51188C65"/>
    <w:rsid w:val="511C50E7"/>
    <w:rsid w:val="51409C62"/>
    <w:rsid w:val="5150A7AE"/>
    <w:rsid w:val="5179B5E4"/>
    <w:rsid w:val="51CE2490"/>
    <w:rsid w:val="51CE978C"/>
    <w:rsid w:val="527199F9"/>
    <w:rsid w:val="5322C3DD"/>
    <w:rsid w:val="53790D8F"/>
    <w:rsid w:val="539C4032"/>
    <w:rsid w:val="53B9A8FD"/>
    <w:rsid w:val="53D2F7D8"/>
    <w:rsid w:val="544EF94D"/>
    <w:rsid w:val="5475D71B"/>
    <w:rsid w:val="547E6226"/>
    <w:rsid w:val="549FAA65"/>
    <w:rsid w:val="552BA077"/>
    <w:rsid w:val="5672D312"/>
    <w:rsid w:val="56960FB7"/>
    <w:rsid w:val="574CC5D1"/>
    <w:rsid w:val="57CA4913"/>
    <w:rsid w:val="580EDF29"/>
    <w:rsid w:val="5850AACB"/>
    <w:rsid w:val="58A0B5C4"/>
    <w:rsid w:val="58D21A77"/>
    <w:rsid w:val="590EA348"/>
    <w:rsid w:val="598064E8"/>
    <w:rsid w:val="59BBE5C7"/>
    <w:rsid w:val="59C72342"/>
    <w:rsid w:val="59C86C54"/>
    <w:rsid w:val="5A52B85E"/>
    <w:rsid w:val="5A5311F8"/>
    <w:rsid w:val="5AC8E7E5"/>
    <w:rsid w:val="5B1F7DFF"/>
    <w:rsid w:val="5B42425F"/>
    <w:rsid w:val="5BF77330"/>
    <w:rsid w:val="5C6F4118"/>
    <w:rsid w:val="5CB575F2"/>
    <w:rsid w:val="5CB5E674"/>
    <w:rsid w:val="5CFD1F47"/>
    <w:rsid w:val="5D2D0747"/>
    <w:rsid w:val="5D374FA8"/>
    <w:rsid w:val="5D4BA590"/>
    <w:rsid w:val="5D943EE4"/>
    <w:rsid w:val="5DBDA08A"/>
    <w:rsid w:val="5DD4FF76"/>
    <w:rsid w:val="5DDC09A2"/>
    <w:rsid w:val="5E18C4E0"/>
    <w:rsid w:val="5E3391BE"/>
    <w:rsid w:val="5EABAC80"/>
    <w:rsid w:val="5F0AC16B"/>
    <w:rsid w:val="5F5AA16F"/>
    <w:rsid w:val="5F89F3ED"/>
    <w:rsid w:val="5FA86A6C"/>
    <w:rsid w:val="606B1BFA"/>
    <w:rsid w:val="6085F769"/>
    <w:rsid w:val="60B9A85C"/>
    <w:rsid w:val="60CFFA24"/>
    <w:rsid w:val="60E657B6"/>
    <w:rsid w:val="618F1913"/>
    <w:rsid w:val="61C30564"/>
    <w:rsid w:val="61E80282"/>
    <w:rsid w:val="61FCD3C6"/>
    <w:rsid w:val="628E4A4F"/>
    <w:rsid w:val="62B10E27"/>
    <w:rsid w:val="631384F1"/>
    <w:rsid w:val="633B7632"/>
    <w:rsid w:val="63969670"/>
    <w:rsid w:val="63E5D701"/>
    <w:rsid w:val="6473E20E"/>
    <w:rsid w:val="64951DEE"/>
    <w:rsid w:val="6581C2CA"/>
    <w:rsid w:val="65EEBFFF"/>
    <w:rsid w:val="6608D8C1"/>
    <w:rsid w:val="66503CCF"/>
    <w:rsid w:val="665BBC1F"/>
    <w:rsid w:val="66D47EA7"/>
    <w:rsid w:val="679C0421"/>
    <w:rsid w:val="67F2AEC8"/>
    <w:rsid w:val="68EC7EDA"/>
    <w:rsid w:val="694EE07D"/>
    <w:rsid w:val="69732B07"/>
    <w:rsid w:val="69A03639"/>
    <w:rsid w:val="69D3C050"/>
    <w:rsid w:val="69EEFBF8"/>
    <w:rsid w:val="6AD270B3"/>
    <w:rsid w:val="6B1F5033"/>
    <w:rsid w:val="6B81B7EC"/>
    <w:rsid w:val="6C3B0CB4"/>
    <w:rsid w:val="6C52C09F"/>
    <w:rsid w:val="6C619CE5"/>
    <w:rsid w:val="6C96FA56"/>
    <w:rsid w:val="6D026048"/>
    <w:rsid w:val="6D2D75B5"/>
    <w:rsid w:val="6D5683BB"/>
    <w:rsid w:val="6D6B53E5"/>
    <w:rsid w:val="6D9C5D9F"/>
    <w:rsid w:val="6ED1EE92"/>
    <w:rsid w:val="6ED36A43"/>
    <w:rsid w:val="6FCD5359"/>
    <w:rsid w:val="701538A3"/>
    <w:rsid w:val="7048A76F"/>
    <w:rsid w:val="705090F5"/>
    <w:rsid w:val="707BCEA3"/>
    <w:rsid w:val="70D16085"/>
    <w:rsid w:val="70FB0614"/>
    <w:rsid w:val="71AADC73"/>
    <w:rsid w:val="71D04E5F"/>
    <w:rsid w:val="71DAB642"/>
    <w:rsid w:val="726C2102"/>
    <w:rsid w:val="72931A6E"/>
    <w:rsid w:val="72F8A4BB"/>
    <w:rsid w:val="73ED758C"/>
    <w:rsid w:val="74DBD612"/>
    <w:rsid w:val="76EFA587"/>
    <w:rsid w:val="7709672D"/>
    <w:rsid w:val="785305AD"/>
    <w:rsid w:val="78907F8E"/>
    <w:rsid w:val="797A35C5"/>
    <w:rsid w:val="798DB81E"/>
    <w:rsid w:val="798F0C28"/>
    <w:rsid w:val="79C0B472"/>
    <w:rsid w:val="79E4F4D3"/>
    <w:rsid w:val="7B90869C"/>
    <w:rsid w:val="7BD5D1F3"/>
    <w:rsid w:val="7C6685D8"/>
    <w:rsid w:val="7C72CE8E"/>
    <w:rsid w:val="7C9C7F53"/>
    <w:rsid w:val="7CEBBB7D"/>
    <w:rsid w:val="7D3CB4AB"/>
    <w:rsid w:val="7E011009"/>
    <w:rsid w:val="7E1A42B3"/>
    <w:rsid w:val="7E36DE67"/>
    <w:rsid w:val="7E3B071E"/>
    <w:rsid w:val="7E945866"/>
    <w:rsid w:val="7F2F3AC6"/>
    <w:rsid w:val="7FB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10674C"/>
  <w15:chartTrackingRefBased/>
  <w15:docId w15:val="{85B0DC01-F102-4072-AE6E-CED83DD4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0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D4"/>
  </w:style>
  <w:style w:type="paragraph" w:styleId="Footer">
    <w:name w:val="footer"/>
    <w:basedOn w:val="Normal"/>
    <w:link w:val="FooterChar"/>
    <w:uiPriority w:val="99"/>
    <w:unhideWhenUsed/>
    <w:rsid w:val="00590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D4"/>
  </w:style>
  <w:style w:type="character" w:styleId="UnresolvedMention">
    <w:name w:val="Unresolved Mention"/>
    <w:basedOn w:val="DefaultParagraphFont"/>
    <w:uiPriority w:val="99"/>
    <w:unhideWhenUsed/>
    <w:rsid w:val="00F1783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1783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45A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9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9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4F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C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C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3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hf.ca/digestive-disorders/crohns-disease/biosimilar-library/" TargetMode="External"/><Relationship Id="rId18" Type="http://schemas.openxmlformats.org/officeDocument/2006/relationships/hyperlink" Target="https://www.centerforbiosimilars.com/view/alberta-sees-early-success-from-switching-patients-to-biosimilars" TargetMode="External"/><Relationship Id="rId26" Type="http://schemas.openxmlformats.org/officeDocument/2006/relationships/hyperlink" Target="https://www.youtube.com/watch?v=gRgwW2Wft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nefitscanada.com/benefits/health-benefits/webinar-coverage-switching-to-biosimilars-can-generate-savings-say-early-adopter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anadianbiosimilarsforum.ca/aboutbiosimilars" TargetMode="External"/><Relationship Id="rId17" Type="http://schemas.openxmlformats.org/officeDocument/2006/relationships/hyperlink" Target="https://onlinelibrary-wiley-com.eu1.proxy.openathens.net/doi/epdf/10.1002/pds.5008" TargetMode="External"/><Relationship Id="rId25" Type="http://schemas.openxmlformats.org/officeDocument/2006/relationships/hyperlink" Target="https://jointhealth.org/pdfs/BiosimilarsinCanada_Infographic_APRIL2021_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gov.bc.ca/gov/content/health/practitioner-professional-resources/pharmacare/prescribers/biosimilars-initiative-prescribers" TargetMode="External"/><Relationship Id="rId20" Type="http://schemas.openxmlformats.org/officeDocument/2006/relationships/hyperlink" Target="https://www.benefitscanada.com/benefits/health-benefits/webinar-coverage-switching-to-biosimilars-can-generate-savings-say-early-adopters/" TargetMode="External"/><Relationship Id="rId29" Type="http://schemas.openxmlformats.org/officeDocument/2006/relationships/hyperlink" Target="https://cdhf.ca/digestive-disorders/crohns-disease/biosimilar-libr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en/health-canada/services/drugs-health-products/biologics-radiopharmaceuticals-genetic-therapies/applications-submissions/guidance-documents/fact-sheet-biosimilars.html" TargetMode="External"/><Relationship Id="rId24" Type="http://schemas.openxmlformats.org/officeDocument/2006/relationships/hyperlink" Target="https://www.youtube.com/watch?v=_LOUkaFflL4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osim.jointhealth.org/" TargetMode="External"/><Relationship Id="rId23" Type="http://schemas.openxmlformats.org/officeDocument/2006/relationships/hyperlink" Target="https://advisor.equitable.ca/advisor/en/news/responding-to-alberta-s-biosimilar-initiative" TargetMode="External"/><Relationship Id="rId28" Type="http://schemas.openxmlformats.org/officeDocument/2006/relationships/hyperlink" Target="https://cdhf.ca/digestive-disorders/crohns-disease/biosimilar-library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irtualsymposium.cadth.ca/wp-content/uploads/2020/07/Poster_1895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hritis.ca/treatment/medication/biologics-and-biosimilars/biosimilars/what-are-biosimilars" TargetMode="External"/><Relationship Id="rId22" Type="http://schemas.openxmlformats.org/officeDocument/2006/relationships/hyperlink" Target="https://virtualsymposium.cadth.ca/wp-content/uploads/2020/07/Poster_1895.pdf" TargetMode="External"/><Relationship Id="rId27" Type="http://schemas.openxmlformats.org/officeDocument/2006/relationships/hyperlink" Target="https://www.youtube.com/watch?v=Wr32YOtKPMs" TargetMode="External"/><Relationship Id="rId30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gov/content/health/practitioner-professional-resources/pharmacare/prescribers/biosimilars-initiative-prescribers" TargetMode="External"/><Relationship Id="rId13" Type="http://schemas.openxmlformats.org/officeDocument/2006/relationships/hyperlink" Target="http://www.pmprb-cepmb.gc.ca/CMFiles/NPDUIS/Potential_Savings_from_Biosimilars_in_Canada_Biosimilar_Workshop_e.pdf" TargetMode="External"/><Relationship Id="rId18" Type="http://schemas.openxmlformats.org/officeDocument/2006/relationships/hyperlink" Target="https://3xlbea253907ff1y7v6f5yyv-wpengine.netdna-ssl.com/wp-content/uploads/2021/04/CDHF-EnglishBiosimilarTransitionPathwayBrochure.pdf" TargetMode="External"/><Relationship Id="rId3" Type="http://schemas.openxmlformats.org/officeDocument/2006/relationships/hyperlink" Target="https://cdhf.ca/digestive-disorders/crohns-disease/biosimilar-library/" TargetMode="External"/><Relationship Id="rId7" Type="http://schemas.openxmlformats.org/officeDocument/2006/relationships/hyperlink" Target="file:///C:\Users\weicks\OneDrive%20-%20Pfizer\Biosimilars\Policy\Sustainability\PMPRB%202020%20biologics-part1-market-trends.pdf" TargetMode="External"/><Relationship Id="rId12" Type="http://schemas.openxmlformats.org/officeDocument/2006/relationships/hyperlink" Target="https://www.benefitscanada.com/benefits/health-benefits/webinar-coverage-switching-to-biosimilars-can-generate-savings-say-early-adopters/" TargetMode="External"/><Relationship Id="rId17" Type="http://schemas.openxmlformats.org/officeDocument/2006/relationships/hyperlink" Target="https://www.youtube.com/watch?v=Wr32YOtKPMs" TargetMode="External"/><Relationship Id="rId2" Type="http://schemas.openxmlformats.org/officeDocument/2006/relationships/hyperlink" Target="https://www.canadianbiosimilarsforum.ca/aboutbiosimilars" TargetMode="External"/><Relationship Id="rId16" Type="http://schemas.openxmlformats.org/officeDocument/2006/relationships/hyperlink" Target="https://www.youtube.com/watch?v=gRgwW2WftIA" TargetMode="External"/><Relationship Id="rId1" Type="http://schemas.openxmlformats.org/officeDocument/2006/relationships/hyperlink" Target="https://www.canada.ca/en/health-canada/services/drugs-health-products/biologics-radiopharmaceuticals-genetic-therapies/applications-submissions/guidance-documents/fact-sheet-biosimilars.html" TargetMode="External"/><Relationship Id="rId6" Type="http://schemas.openxmlformats.org/officeDocument/2006/relationships/hyperlink" Target="https://www.jdsupra.com/legalnews/update-on-biosimilars-in-canada-april-7703939/" TargetMode="External"/><Relationship Id="rId11" Type="http://schemas.openxmlformats.org/officeDocument/2006/relationships/hyperlink" Target="https://pfizer-my.sharepoint.com/personal/weicks_pfizer_com/Documents/Biosimilars/Private%20Payers/CPBI%20Events%202021/2%20Pager%20Document%20June%202021/Biosimilar%20transitioning:%20a%20Private%20Payor's%20Journey" TargetMode="External"/><Relationship Id="rId5" Type="http://schemas.openxmlformats.org/officeDocument/2006/relationships/hyperlink" Target="https://biosim.jointhealth.org/" TargetMode="External"/><Relationship Id="rId15" Type="http://schemas.openxmlformats.org/officeDocument/2006/relationships/hyperlink" Target="https://jointhealth.org/pdfs/BiosimilarsinCanada_Infographic_APRIL2021_En.pdf" TargetMode="External"/><Relationship Id="rId10" Type="http://schemas.openxmlformats.org/officeDocument/2006/relationships/hyperlink" Target="https://www.centerforbiosimilars.com/view/alberta-sees-early-success-from-switching-patients-to-biosimilars" TargetMode="External"/><Relationship Id="rId19" Type="http://schemas.openxmlformats.org/officeDocument/2006/relationships/hyperlink" Target="https://cdhf.ca/digestive-disorders/crohns-disease/ibd-switching-from-a-biologic-to-a-biosimilar/" TargetMode="External"/><Relationship Id="rId4" Type="http://schemas.openxmlformats.org/officeDocument/2006/relationships/hyperlink" Target="https://arthritis.ca/treatment/medication/biologics-and-biosimilars/biosimilars/what-are-biosimilars" TargetMode="External"/><Relationship Id="rId9" Type="http://schemas.openxmlformats.org/officeDocument/2006/relationships/hyperlink" Target="https://onlinelibrary-wiley-com.eu1.proxy.openathens.net/doi/epdf/10.1002/pds.5008" TargetMode="External"/><Relationship Id="rId14" Type="http://schemas.openxmlformats.org/officeDocument/2006/relationships/hyperlink" Target="https://advisor.equitable.ca/advisor/en/news/responding-to-alberta-s-biosimilar-initi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5cbdfc-a2ab-41fc-9d81-15cbc7d2a5ef">
      <UserInfo>
        <DisplayName>Gian Piero Paolitto</DisplayName>
        <AccountId>177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31EEAC37A1A4BA7FAF5C3FB226652" ma:contentTypeVersion="8" ma:contentTypeDescription="Create a new document." ma:contentTypeScope="" ma:versionID="0a4f1e9fc89195ce323269fe5ea6ead0">
  <xsd:schema xmlns:xsd="http://www.w3.org/2001/XMLSchema" xmlns:xs="http://www.w3.org/2001/XMLSchema" xmlns:p="http://schemas.microsoft.com/office/2006/metadata/properties" xmlns:ns2="84326873-0d78-45ba-b03e-b3358d4361b2" xmlns:ns3="f95cbdfc-a2ab-41fc-9d81-15cbc7d2a5ef" targetNamespace="http://schemas.microsoft.com/office/2006/metadata/properties" ma:root="true" ma:fieldsID="9ed6670eff3dd753adca77d9cc916fc5" ns2:_="" ns3:_="">
    <xsd:import namespace="84326873-0d78-45ba-b03e-b3358d4361b2"/>
    <xsd:import namespace="f95cbdfc-a2ab-41fc-9d81-15cbc7d2a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26873-0d78-45ba-b03e-b3358d436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cbdfc-a2ab-41fc-9d81-15cbc7d2a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5DB08-593C-477E-9559-A8ACB4F7A100}">
  <ds:schemaRefs>
    <ds:schemaRef ds:uri="http://schemas.microsoft.com/office/2006/metadata/properties"/>
    <ds:schemaRef ds:uri="http://schemas.microsoft.com/office/infopath/2007/PartnerControls"/>
    <ds:schemaRef ds:uri="b9dcfa8f-3829-4cc7-84e7-cc56dab6b0eb"/>
    <ds:schemaRef ds:uri="f95cbdfc-a2ab-41fc-9d81-15cbc7d2a5ef"/>
  </ds:schemaRefs>
</ds:datastoreItem>
</file>

<file path=customXml/itemProps2.xml><?xml version="1.0" encoding="utf-8"?>
<ds:datastoreItem xmlns:ds="http://schemas.openxmlformats.org/officeDocument/2006/customXml" ds:itemID="{8D65E46F-8FB0-4369-81EF-E82A4A496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26873-0d78-45ba-b03e-b3358d4361b2"/>
    <ds:schemaRef ds:uri="f95cbdfc-a2ab-41fc-9d81-15cbc7d2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4B2D2-6EAB-46DA-8EA9-485BA7CC0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6ADEB3-8B88-423E-A236-91A3FEA8A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Links>
    <vt:vector size="108" baseType="variant">
      <vt:variant>
        <vt:i4>3932261</vt:i4>
      </vt:variant>
      <vt:variant>
        <vt:i4>51</vt:i4>
      </vt:variant>
      <vt:variant>
        <vt:i4>0</vt:i4>
      </vt:variant>
      <vt:variant>
        <vt:i4>5</vt:i4>
      </vt:variant>
      <vt:variant>
        <vt:lpwstr>https://plus.telushealth.co/blogs/health-benefits/wp-content/uploads/AST2986-Drug-Trends-Report-July-2020-EN-V6.pdf</vt:lpwstr>
      </vt:variant>
      <vt:variant>
        <vt:lpwstr/>
      </vt:variant>
      <vt:variant>
        <vt:i4>7012470</vt:i4>
      </vt:variant>
      <vt:variant>
        <vt:i4>48</vt:i4>
      </vt:variant>
      <vt:variant>
        <vt:i4>0</vt:i4>
      </vt:variant>
      <vt:variant>
        <vt:i4>5</vt:i4>
      </vt:variant>
      <vt:variant>
        <vt:lpwstr>https://www.benefitscanada.com/benefits/health-benefits/webinar-coverage-switching-to-biosimilars-can-generate-savings-say-early-adopters/</vt:lpwstr>
      </vt:variant>
      <vt:variant>
        <vt:lpwstr/>
      </vt:variant>
      <vt:variant>
        <vt:i4>6684742</vt:i4>
      </vt:variant>
      <vt:variant>
        <vt:i4>45</vt:i4>
      </vt:variant>
      <vt:variant>
        <vt:i4>0</vt:i4>
      </vt:variant>
      <vt:variant>
        <vt:i4>5</vt:i4>
      </vt:variant>
      <vt:variant>
        <vt:lpwstr>https://virtualsymposium.cadth.ca/wp-content/uploads/2020/07/Poster_1895.pdf</vt:lpwstr>
      </vt:variant>
      <vt:variant>
        <vt:lpwstr/>
      </vt:variant>
      <vt:variant>
        <vt:i4>7209013</vt:i4>
      </vt:variant>
      <vt:variant>
        <vt:i4>42</vt:i4>
      </vt:variant>
      <vt:variant>
        <vt:i4>0</vt:i4>
      </vt:variant>
      <vt:variant>
        <vt:i4>5</vt:i4>
      </vt:variant>
      <vt:variant>
        <vt:lpwstr>https://www.centerforbiosimilars.com/view/alberta-sees-early-success-from-switching-patients-to-biosimilars</vt:lpwstr>
      </vt:variant>
      <vt:variant>
        <vt:lpwstr/>
      </vt:variant>
      <vt:variant>
        <vt:i4>3211297</vt:i4>
      </vt:variant>
      <vt:variant>
        <vt:i4>39</vt:i4>
      </vt:variant>
      <vt:variant>
        <vt:i4>0</vt:i4>
      </vt:variant>
      <vt:variant>
        <vt:i4>5</vt:i4>
      </vt:variant>
      <vt:variant>
        <vt:lpwstr>https://onlinelibrary-wiley-com.eu1.proxy.openathens.net/doi/epdf/10.1002/pds.5008</vt:lpwstr>
      </vt:variant>
      <vt:variant>
        <vt:lpwstr/>
      </vt:variant>
      <vt:variant>
        <vt:i4>7209058</vt:i4>
      </vt:variant>
      <vt:variant>
        <vt:i4>36</vt:i4>
      </vt:variant>
      <vt:variant>
        <vt:i4>0</vt:i4>
      </vt:variant>
      <vt:variant>
        <vt:i4>5</vt:i4>
      </vt:variant>
      <vt:variant>
        <vt:lpwstr>https://www2.gov.bc.ca/gov/content/health/practitioner-professional-resources/pharmacare/prescribers/biosimilars-initiative-prescribers</vt:lpwstr>
      </vt:variant>
      <vt:variant>
        <vt:lpwstr/>
      </vt:variant>
      <vt:variant>
        <vt:i4>4063321</vt:i4>
      </vt:variant>
      <vt:variant>
        <vt:i4>33</vt:i4>
      </vt:variant>
      <vt:variant>
        <vt:i4>0</vt:i4>
      </vt:variant>
      <vt:variant>
        <vt:i4>5</vt:i4>
      </vt:variant>
      <vt:variant>
        <vt:lpwstr>https://cdhf.ca/digestive-disorders/crohns-disease/biosimilar-library/</vt:lpwstr>
      </vt:variant>
      <vt:variant>
        <vt:lpwstr>2</vt:lpwstr>
      </vt:variant>
      <vt:variant>
        <vt:i4>4063322</vt:i4>
      </vt:variant>
      <vt:variant>
        <vt:i4>30</vt:i4>
      </vt:variant>
      <vt:variant>
        <vt:i4>0</vt:i4>
      </vt:variant>
      <vt:variant>
        <vt:i4>5</vt:i4>
      </vt:variant>
      <vt:variant>
        <vt:lpwstr>https://cdhf.ca/digestive-disorders/crohns-disease/biosimilar-library/</vt:lpwstr>
      </vt:variant>
      <vt:variant>
        <vt:lpwstr>1</vt:lpwstr>
      </vt:variant>
      <vt:variant>
        <vt:i4>7733366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https://www.youtube.com/watch?v=Wr32YOtKPMs</vt:lpwstr>
      </vt:variant>
      <vt:variant>
        <vt:lpwstr/>
      </vt:variant>
      <vt:variant>
        <vt:i4>6750267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https://www.youtube.com/watch?v=gRgwW2WftIA</vt:lpwstr>
      </vt:variant>
      <vt:variant>
        <vt:lpwstr/>
      </vt:variant>
      <vt:variant>
        <vt:i4>4849724</vt:i4>
      </vt:variant>
      <vt:variant>
        <vt:i4>21</vt:i4>
      </vt:variant>
      <vt:variant>
        <vt:i4>0</vt:i4>
      </vt:variant>
      <vt:variant>
        <vt:i4>5</vt:i4>
      </vt:variant>
      <vt:variant>
        <vt:lpwstr>https://jointhealth.org/pdfs/BiosimilarsinCanada_Infographic_APRIL2021_En.pdf</vt:lpwstr>
      </vt:variant>
      <vt:variant>
        <vt:lpwstr/>
      </vt:variant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https://vimeo.com/559062209</vt:lpwstr>
      </vt:variant>
      <vt:variant>
        <vt:lpwstr/>
      </vt:variant>
      <vt:variant>
        <vt:i4>7340086</vt:i4>
      </vt:variant>
      <vt:variant>
        <vt:i4>15</vt:i4>
      </vt:variant>
      <vt:variant>
        <vt:i4>0</vt:i4>
      </vt:variant>
      <vt:variant>
        <vt:i4>5</vt:i4>
      </vt:variant>
      <vt:variant>
        <vt:lpwstr>https://vimeo.com/559061679</vt:lpwstr>
      </vt:variant>
      <vt:variant>
        <vt:lpwstr/>
      </vt:variant>
      <vt:variant>
        <vt:i4>7864362</vt:i4>
      </vt:variant>
      <vt:variant>
        <vt:i4>12</vt:i4>
      </vt:variant>
      <vt:variant>
        <vt:i4>0</vt:i4>
      </vt:variant>
      <vt:variant>
        <vt:i4>5</vt:i4>
      </vt:variant>
      <vt:variant>
        <vt:lpwstr>https://biosim.jointhealth.org/</vt:lpwstr>
      </vt:variant>
      <vt:variant>
        <vt:lpwstr/>
      </vt:variant>
      <vt:variant>
        <vt:i4>393289</vt:i4>
      </vt:variant>
      <vt:variant>
        <vt:i4>9</vt:i4>
      </vt:variant>
      <vt:variant>
        <vt:i4>0</vt:i4>
      </vt:variant>
      <vt:variant>
        <vt:i4>5</vt:i4>
      </vt:variant>
      <vt:variant>
        <vt:lpwstr>https://arthritis.ca/treatment/medication/biologics-and-biosimilars/biosimilars/what-are-biosimilars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https://cdhf.ca/digestive-disorders/crohns-disease/biosimilar-library/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https://www.canadianbiosimilarsforum.ca/aboutbiosimilars</vt:lpwstr>
      </vt:variant>
      <vt:variant>
        <vt:lpwstr/>
      </vt:variant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https://www.canada.ca/en/health-canada/services/drugs-health-products/biologics-radiopharmaceuticals-genetic-therapies/applications-submissions/guidance-documents/fact-sheet-biosimilars.html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Piero Paolitto</dc:creator>
  <cp:keywords/>
  <dc:description/>
  <cp:lastModifiedBy>Jessica Braemer | CPBI-ICRA</cp:lastModifiedBy>
  <cp:revision>2</cp:revision>
  <dcterms:created xsi:type="dcterms:W3CDTF">2021-07-23T16:35:00Z</dcterms:created>
  <dcterms:modified xsi:type="dcterms:W3CDTF">2021-07-23T16:35:00Z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0x0101001D131EEAC37A1A4BA7FAF5C3FB226652</vt:lpwstr>
  </property>
</Properties>
</file>